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附件7</w:t>
      </w:r>
    </w:p>
    <w:p>
      <w:pPr>
        <w:pStyle w:val="2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drawing>
          <wp:inline distT="0" distB="0" distL="114300" distR="114300">
            <wp:extent cx="952500" cy="513715"/>
            <wp:effectExtent l="0" t="0" r="7620" b="4445"/>
            <wp:docPr id="2" name="图片 2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附 属</w:t>
      </w:r>
    </w:p>
    <w:p>
      <w:pPr>
        <w:jc w:val="center"/>
        <w:rPr>
          <w:rFonts w:hint="default" w:eastAsia="华文新魏"/>
          <w:b/>
          <w:bCs/>
          <w:sz w:val="4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 xml:space="preserve"> 青 岛 眼 科 医 院</w:t>
      </w:r>
    </w:p>
    <w:p>
      <w:pPr>
        <w:rPr>
          <w:rFonts w:hint="eastAsia"/>
          <w:sz w:val="30"/>
          <w:highlight w:val="none"/>
        </w:rPr>
      </w:pPr>
      <w:r>
        <w:rPr>
          <w:sz w:val="20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159385</wp:posOffset>
                </wp:positionV>
                <wp:extent cx="6334125" cy="0"/>
                <wp:effectExtent l="0" t="5080" r="0" b="4445"/>
                <wp:wrapNone/>
                <wp:docPr id="1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-26.25pt;margin-top:12.55pt;height:0pt;width:498.75pt;z-index:251659264;mso-width-relative:page;mso-height-relative:page;" filled="f" stroked="t" coordsize="21600,21600" o:gfxdata="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m4Iz1gAA&#10;AAkBAAAPAAAAAAAAAAEAIAAAACIAAABkcnMvZG93bnJldi54bWxQSwECFAAUAAAACACHTuJAB9d9&#10;x+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18"/>
          <w:highlight w:val="none"/>
        </w:rPr>
      </w:pPr>
      <w:r>
        <w:rPr>
          <w:rFonts w:hint="eastAsia" w:eastAsia="楷体_GB2312"/>
          <w:b/>
          <w:bCs/>
          <w:sz w:val="36"/>
          <w:highlight w:val="none"/>
        </w:rPr>
        <w:t xml:space="preserve">进 修 人 员 离 </w:t>
      </w:r>
      <w:r>
        <w:rPr>
          <w:rFonts w:hint="eastAsia" w:eastAsia="楷体_GB2312"/>
          <w:b/>
          <w:bCs/>
          <w:sz w:val="36"/>
          <w:highlight w:val="none"/>
          <w:lang w:val="en-US" w:eastAsia="zh-CN"/>
        </w:rPr>
        <w:t>院</w:t>
      </w:r>
      <w:r>
        <w:rPr>
          <w:rFonts w:hint="eastAsia" w:eastAsia="楷体_GB2312"/>
          <w:b/>
          <w:bCs/>
          <w:sz w:val="36"/>
          <w:highlight w:val="none"/>
        </w:rPr>
        <w:t xml:space="preserve"> 交 接 清 单</w:t>
      </w:r>
    </w:p>
    <w:tbl>
      <w:tblPr>
        <w:tblStyle w:val="10"/>
        <w:tblW w:w="0" w:type="auto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2219"/>
        <w:gridCol w:w="1203"/>
        <w:gridCol w:w="184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部    门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签  字</w:t>
            </w: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部   门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病    房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医务部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医疗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门    诊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护理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手 术 室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病案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特 检 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办 公 室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检 验 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信息中心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白内障科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财 务 部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角膜</w:t>
            </w: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  <w:t>病科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科 教 部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青光眼科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图 书 馆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眼底</w:t>
            </w: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  <w:t>病</w:t>
            </w: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 xml:space="preserve">食 </w:t>
            </w: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 xml:space="preserve"> 堂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斜视</w:t>
            </w: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eastAsia="zh-CN"/>
              </w:rPr>
              <w:t>与小儿眼科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  <w:t>设备资产部（宿舍）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角膜屈光科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  <w:t>眼视光学和角膜接触镜科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  <w:t>神经眼科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kern w:val="2"/>
                <w:position w:val="-36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实 验 室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41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  <w:lang w:val="en-US" w:eastAsia="zh-CN"/>
              </w:rPr>
              <w:t>葡萄膜炎科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  <w:tc>
          <w:tcPr>
            <w:tcW w:w="305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药 剂 科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9278" w:type="dxa"/>
            <w:gridSpan w:val="5"/>
            <w:noWrap w:val="0"/>
            <w:vAlign w:val="center"/>
          </w:tcPr>
          <w:p>
            <w:pPr>
              <w:spacing w:line="324" w:lineRule="auto"/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position w:val="-36"/>
                <w:sz w:val="28"/>
                <w:szCs w:val="28"/>
                <w:highlight w:val="none"/>
              </w:rPr>
              <w:t>备注：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>注：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员工（包含实习、进修人员及研究生）完成此表后方可离职；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各科室负责人确认离职人员与本部门无物品及事宜关联后方可签字；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未尽事宜请在备注栏填写；此表完成后送交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医务部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</w:t>
      </w:r>
    </w:p>
    <w:p>
      <w:pPr>
        <w:pStyle w:val="2"/>
        <w:rPr>
          <w:rFonts w:hint="eastAsia"/>
        </w:rPr>
      </w:pPr>
    </w:p>
    <w:p>
      <w:pPr>
        <w:pStyle w:val="2"/>
        <w:wordWrap w:val="0"/>
        <w:jc w:val="right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本人签字：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          </w:t>
      </w:r>
    </w:p>
    <w:sectPr>
      <w:headerReference r:id="rId3" w:type="default"/>
      <w:footerReference r:id="rId4" w:type="default"/>
      <w:pgSz w:w="11850" w:h="16783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彩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X96c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rJf3p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hmYjkxYzMxYzM0NGExYjliYmFhNDFlZWZlOGEifQ=="/>
  </w:docVars>
  <w:rsids>
    <w:rsidRoot w:val="00000000"/>
    <w:rsid w:val="025C5786"/>
    <w:rsid w:val="03AA46D2"/>
    <w:rsid w:val="05EA66F2"/>
    <w:rsid w:val="07683FAF"/>
    <w:rsid w:val="084811B8"/>
    <w:rsid w:val="09AD2592"/>
    <w:rsid w:val="0B8F1888"/>
    <w:rsid w:val="0CAB5337"/>
    <w:rsid w:val="0CC76D73"/>
    <w:rsid w:val="0FB57F09"/>
    <w:rsid w:val="119B6DD9"/>
    <w:rsid w:val="12D656D1"/>
    <w:rsid w:val="166E53E3"/>
    <w:rsid w:val="17D75EF3"/>
    <w:rsid w:val="19951FD7"/>
    <w:rsid w:val="19D4264B"/>
    <w:rsid w:val="1B9A278F"/>
    <w:rsid w:val="1C3260EE"/>
    <w:rsid w:val="1D6168AD"/>
    <w:rsid w:val="1D8924DB"/>
    <w:rsid w:val="220D4FC1"/>
    <w:rsid w:val="278E5E28"/>
    <w:rsid w:val="27C04703"/>
    <w:rsid w:val="2D713013"/>
    <w:rsid w:val="2F6F5BE7"/>
    <w:rsid w:val="30345CE5"/>
    <w:rsid w:val="30E26FB7"/>
    <w:rsid w:val="326271E3"/>
    <w:rsid w:val="32D02829"/>
    <w:rsid w:val="34417F78"/>
    <w:rsid w:val="371144B8"/>
    <w:rsid w:val="3B2408F7"/>
    <w:rsid w:val="3C5C7507"/>
    <w:rsid w:val="41106DE9"/>
    <w:rsid w:val="41BC67A6"/>
    <w:rsid w:val="43BB363D"/>
    <w:rsid w:val="44D203B1"/>
    <w:rsid w:val="45753604"/>
    <w:rsid w:val="49EF5FB8"/>
    <w:rsid w:val="4A1F6A18"/>
    <w:rsid w:val="4AE97809"/>
    <w:rsid w:val="4C3023BE"/>
    <w:rsid w:val="4C9928E4"/>
    <w:rsid w:val="53B622BA"/>
    <w:rsid w:val="574A3285"/>
    <w:rsid w:val="584E6094"/>
    <w:rsid w:val="585F04E8"/>
    <w:rsid w:val="58890993"/>
    <w:rsid w:val="58B63BD5"/>
    <w:rsid w:val="5C104220"/>
    <w:rsid w:val="5DB81D80"/>
    <w:rsid w:val="5DD2799F"/>
    <w:rsid w:val="60E30F36"/>
    <w:rsid w:val="647F797E"/>
    <w:rsid w:val="684C58D2"/>
    <w:rsid w:val="689B5714"/>
    <w:rsid w:val="68A7285D"/>
    <w:rsid w:val="69FD0BC8"/>
    <w:rsid w:val="6A0C2A23"/>
    <w:rsid w:val="6CF54515"/>
    <w:rsid w:val="6D26218B"/>
    <w:rsid w:val="70D82F24"/>
    <w:rsid w:val="754A2974"/>
    <w:rsid w:val="75A93336"/>
    <w:rsid w:val="75D60BA4"/>
    <w:rsid w:val="767A49FF"/>
    <w:rsid w:val="7BBA4FD4"/>
    <w:rsid w:val="7D124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lang w:val="en-US" w:eastAsia="zh-CN" w:bidi="ar-SA"/>
    </w:rPr>
  </w:style>
  <w:style w:type="paragraph" w:styleId="4">
    <w:name w:val="Body Text"/>
    <w:basedOn w:val="1"/>
    <w:qFormat/>
    <w:uiPriority w:val="1"/>
    <w:pPr>
      <w:ind w:left="1013"/>
    </w:pPr>
    <w:rPr>
      <w:sz w:val="24"/>
      <w:szCs w:val="24"/>
    </w:rPr>
  </w:style>
  <w:style w:type="paragraph" w:styleId="5">
    <w:name w:val="Plain Text"/>
    <w:basedOn w:val="1"/>
    <w:unhideWhenUsed/>
    <w:qFormat/>
    <w:uiPriority w:val="99"/>
    <w:pPr>
      <w:autoSpaceDE/>
      <w:autoSpaceDN/>
      <w:jc w:val="both"/>
    </w:pPr>
    <w:rPr>
      <w:rFonts w:ascii="宋体" w:hAnsi="Courier New" w:eastAsia="宋体" w:cs="Times New Roman"/>
      <w:kern w:val="2"/>
      <w:sz w:val="21"/>
      <w:szCs w:val="21"/>
      <w:lang w:bidi="ar-SA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basedOn w:val="1"/>
    <w:next w:val="1"/>
    <w:qFormat/>
    <w:uiPriority w:val="0"/>
    <w:pPr>
      <w:spacing w:line="400" w:lineRule="exact"/>
      <w:jc w:val="center"/>
      <w:outlineLvl w:val="1"/>
    </w:pPr>
    <w:rPr>
      <w:rFonts w:ascii="Cambria" w:hAnsi="Cambria"/>
      <w:b/>
      <w:bCs/>
      <w:kern w:val="28"/>
      <w:sz w:val="24"/>
    </w:rPr>
  </w:style>
  <w:style w:type="character" w:styleId="12">
    <w:name w:val="page number"/>
    <w:basedOn w:val="11"/>
    <w:unhideWhenUsed/>
    <w:qFormat/>
    <w:uiPriority w:val="99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font101"/>
    <w:basedOn w:val="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default" w:ascii="华文彩云" w:hAnsi="华文彩云" w:eastAsia="华文彩云" w:cs="华文彩云"/>
      <w:b/>
      <w:bCs/>
      <w:color w:val="000000"/>
      <w:sz w:val="44"/>
      <w:szCs w:val="44"/>
      <w:u w:val="none"/>
    </w:rPr>
  </w:style>
  <w:style w:type="character" w:customStyle="1" w:styleId="16">
    <w:name w:val="font112"/>
    <w:basedOn w:val="11"/>
    <w:uiPriority w:val="0"/>
    <w:rPr>
      <w:rFonts w:hint="default" w:ascii="仿宋_GB2312" w:eastAsia="仿宋_GB2312" w:cs="仿宋_GB2312"/>
      <w:color w:val="FF6600"/>
      <w:sz w:val="24"/>
      <w:szCs w:val="24"/>
      <w:u w:val="none"/>
    </w:rPr>
  </w:style>
  <w:style w:type="character" w:customStyle="1" w:styleId="17">
    <w:name w:val="font8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9">
    <w:name w:val="font41"/>
    <w:basedOn w:val="11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font01"/>
    <w:basedOn w:val="11"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21">
    <w:name w:val="font91"/>
    <w:basedOn w:val="11"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2">
    <w:name w:val="font21"/>
    <w:basedOn w:val="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3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制度"/>
    <w:basedOn w:val="1"/>
    <w:qFormat/>
    <w:uiPriority w:val="0"/>
    <w:pPr>
      <w:adjustRightInd w:val="0"/>
      <w:snapToGrid w:val="0"/>
      <w:spacing w:line="420" w:lineRule="exact"/>
      <w:ind w:firstLine="560" w:firstLineChars="200"/>
      <w:jc w:val="left"/>
    </w:pPr>
    <w:rPr>
      <w:rFonts w:ascii="Times New Roman" w:hAnsi="Times New Roman"/>
      <w:sz w:val="28"/>
    </w:rPr>
  </w:style>
  <w:style w:type="paragraph" w:customStyle="1" w:styleId="26">
    <w:name w:val="ql-lineheight-15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  <w:style w:type="table" w:customStyle="1" w:styleId="27">
    <w:name w:val="网格型1"/>
    <w:basedOn w:val="10"/>
    <w:qFormat/>
    <w:uiPriority w:val="59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王晓鹏</cp:lastModifiedBy>
  <cp:lastPrinted>2024-01-19T03:00:18Z</cp:lastPrinted>
  <dcterms:modified xsi:type="dcterms:W3CDTF">2024-01-30T09:45:04Z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2B6B2FEAEE764395B3168DB47FC8D17A_13</vt:lpwstr>
  </property>
</Properties>
</file>