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lang w:val="en-US"/>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山东第一医科大学附属青岛眼科医院学术报告厅改造项目竞争性磋商文件</w:t>
      </w:r>
    </w:p>
    <w:p>
      <w:pPr>
        <w:pStyle w:val="14"/>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ind w:firstLine="560" w:firstLineChars="200"/>
        <w:rPr>
          <w:rFonts w:hint="default" w:eastAsiaTheme="minorEastAsia"/>
          <w:sz w:val="28"/>
          <w:szCs w:val="28"/>
          <w:lang w:val="en-US" w:eastAsia="zh-CN"/>
        </w:rPr>
      </w:pPr>
      <w:bookmarkStart w:id="0" w:name="OLE_LINK35"/>
      <w:bookmarkStart w:id="1" w:name="OLE_LINK36"/>
      <w:r>
        <w:rPr>
          <w:rFonts w:hint="eastAsia"/>
          <w:sz w:val="28"/>
          <w:szCs w:val="28"/>
        </w:rPr>
        <w:t>1、在中国境内注册、具有能够独立承担民事责任的企业，具有合法有效的营业执照</w:t>
      </w:r>
      <w:r>
        <w:rPr>
          <w:rFonts w:hint="eastAsia" w:asciiTheme="minorEastAsia" w:hAnsiTheme="minorEastAsia" w:cstheme="minorEastAsia"/>
          <w:kern w:val="2"/>
          <w:sz w:val="28"/>
          <w:szCs w:val="28"/>
          <w:lang w:val="en-US" w:eastAsia="zh-CN" w:bidi="ar-SA"/>
        </w:rPr>
        <w:t>；</w:t>
      </w:r>
    </w:p>
    <w:p>
      <w:pPr>
        <w:ind w:firstLine="560" w:firstLineChars="200"/>
        <w:jc w:val="left"/>
        <w:rPr>
          <w:sz w:val="28"/>
          <w:szCs w:val="28"/>
        </w:rPr>
      </w:pPr>
      <w:r>
        <w:rPr>
          <w:rFonts w:hint="eastAsia"/>
          <w:sz w:val="28"/>
          <w:szCs w:val="28"/>
        </w:rPr>
        <w:t>2、提供的资格、资质证明文件真实有效；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bookmarkEnd w:id="0"/>
      <w:bookmarkEnd w:id="1"/>
    </w:p>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sz w:val="28"/>
          <w:szCs w:val="28"/>
        </w:rPr>
        <w:t>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w:t>
      </w:r>
      <w:r>
        <w:rPr>
          <w:rFonts w:hint="eastAsia"/>
          <w:b/>
          <w:sz w:val="28"/>
          <w:szCs w:val="28"/>
          <w:lang w:val="en-US" w:eastAsia="zh-CN"/>
        </w:rPr>
        <w:t>20</w:t>
      </w:r>
      <w:r>
        <w:rPr>
          <w:rFonts w:hint="eastAsia"/>
          <w:b/>
          <w:sz w:val="28"/>
          <w:szCs w:val="28"/>
        </w:rPr>
        <w:t>年度</w:t>
      </w:r>
      <w:r>
        <w:rPr>
          <w:rFonts w:hint="eastAsia"/>
          <w:b/>
          <w:sz w:val="28"/>
          <w:szCs w:val="28"/>
          <w:lang w:val="en-US" w:eastAsia="zh-CN"/>
        </w:rPr>
        <w:t>或2021年度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sz w:val="28"/>
          <w:szCs w:val="28"/>
        </w:rPr>
      </w:pPr>
      <w:r>
        <w:rPr>
          <w:rFonts w:hint="eastAsia"/>
          <w:sz w:val="28"/>
          <w:szCs w:val="28"/>
        </w:rPr>
        <w:t xml:space="preserve">1.3.2 </w:t>
      </w:r>
      <w:r>
        <w:rPr>
          <w:rFonts w:hint="eastAsia"/>
          <w:sz w:val="28"/>
          <w:szCs w:val="28"/>
          <w:lang w:val="en-US" w:eastAsia="zh-CN"/>
        </w:rPr>
        <w:t>改造</w:t>
      </w:r>
      <w:r>
        <w:rPr>
          <w:rFonts w:hint="eastAsia"/>
          <w:sz w:val="28"/>
          <w:szCs w:val="28"/>
        </w:rPr>
        <w:t>清单报价</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0" w:firstLineChars="200"/>
        <w:rPr>
          <w:b w:val="0"/>
          <w:bCs/>
          <w:color w:val="auto"/>
          <w:sz w:val="28"/>
          <w:szCs w:val="28"/>
        </w:rPr>
      </w:pPr>
      <w:r>
        <w:rPr>
          <w:rFonts w:hint="eastAsia"/>
          <w:b w:val="0"/>
          <w:bCs/>
          <w:color w:val="auto"/>
          <w:sz w:val="28"/>
          <w:szCs w:val="28"/>
        </w:rPr>
        <w:t>1.4.2工期、付款方式及质保期等（不能低于磋商文件要求）；</w:t>
      </w:r>
    </w:p>
    <w:p>
      <w:pPr>
        <w:spacing w:line="360" w:lineRule="auto"/>
        <w:ind w:firstLine="560" w:firstLineChars="200"/>
        <w:rPr>
          <w:sz w:val="28"/>
          <w:szCs w:val="28"/>
        </w:rPr>
      </w:pPr>
      <w:r>
        <w:rPr>
          <w:rFonts w:hint="eastAsia"/>
          <w:sz w:val="28"/>
          <w:szCs w:val="28"/>
        </w:rPr>
        <w:t>1.4.3售后服务内容及响应措施；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年（201</w:t>
      </w:r>
      <w:r>
        <w:rPr>
          <w:rFonts w:hint="eastAsia"/>
          <w:b/>
          <w:sz w:val="28"/>
          <w:szCs w:val="28"/>
          <w:lang w:val="en-US" w:eastAsia="zh-CN"/>
        </w:rPr>
        <w:t>9</w:t>
      </w:r>
      <w:r>
        <w:rPr>
          <w:rFonts w:hint="eastAsia"/>
          <w:b/>
          <w:sz w:val="28"/>
          <w:szCs w:val="28"/>
        </w:rPr>
        <w:t>年</w:t>
      </w:r>
      <w:r>
        <w:rPr>
          <w:rFonts w:hint="eastAsia"/>
          <w:b/>
          <w:sz w:val="28"/>
          <w:szCs w:val="28"/>
          <w:lang w:val="en-US" w:eastAsia="zh-CN"/>
        </w:rPr>
        <w:t>1月1日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w:t>
      </w:r>
      <w:r>
        <w:rPr>
          <w:rFonts w:hint="eastAsia"/>
          <w:b/>
          <w:bCs/>
          <w:sz w:val="28"/>
          <w:szCs w:val="28"/>
        </w:rPr>
        <w:t>设计方案、技术说明、产品性能描述</w:t>
      </w:r>
    </w:p>
    <w:p>
      <w:pPr>
        <w:spacing w:line="360" w:lineRule="auto"/>
        <w:ind w:firstLine="560" w:firstLineChars="200"/>
        <w:rPr>
          <w:sz w:val="28"/>
          <w:szCs w:val="28"/>
        </w:rPr>
      </w:pPr>
      <w:r>
        <w:rPr>
          <w:rFonts w:hint="eastAsia"/>
          <w:sz w:val="28"/>
          <w:szCs w:val="28"/>
        </w:rPr>
        <w:t>a.总体施工组织布置及规划；</w:t>
      </w:r>
    </w:p>
    <w:p>
      <w:pPr>
        <w:spacing w:line="360" w:lineRule="auto"/>
        <w:ind w:firstLine="560" w:firstLineChars="200"/>
        <w:rPr>
          <w:sz w:val="28"/>
          <w:szCs w:val="28"/>
        </w:rPr>
      </w:pPr>
      <w:r>
        <w:rPr>
          <w:rFonts w:hint="eastAsia"/>
          <w:sz w:val="28"/>
          <w:szCs w:val="28"/>
        </w:rPr>
        <w:t>b.主要工程项目的施工方案、方法与技术措施；</w:t>
      </w:r>
    </w:p>
    <w:p>
      <w:pPr>
        <w:spacing w:line="360" w:lineRule="auto"/>
        <w:ind w:firstLine="560" w:firstLineChars="200"/>
        <w:rPr>
          <w:sz w:val="28"/>
          <w:szCs w:val="28"/>
        </w:rPr>
      </w:pPr>
      <w:r>
        <w:rPr>
          <w:rFonts w:hint="eastAsia"/>
          <w:sz w:val="28"/>
          <w:szCs w:val="28"/>
        </w:rPr>
        <w:t>c.工期保证体系及保证措施（含施工进度表）</w:t>
      </w:r>
    </w:p>
    <w:p>
      <w:pPr>
        <w:spacing w:line="360" w:lineRule="auto"/>
        <w:ind w:firstLine="560" w:firstLineChars="200"/>
        <w:rPr>
          <w:sz w:val="28"/>
          <w:szCs w:val="28"/>
        </w:rPr>
      </w:pPr>
      <w:r>
        <w:rPr>
          <w:rFonts w:hint="eastAsia"/>
          <w:sz w:val="28"/>
          <w:szCs w:val="28"/>
        </w:rPr>
        <w:t>d.工程质量管理体系及保证措施；</w:t>
      </w:r>
    </w:p>
    <w:p>
      <w:pPr>
        <w:spacing w:line="360" w:lineRule="auto"/>
        <w:ind w:firstLine="560" w:firstLineChars="200"/>
        <w:rPr>
          <w:sz w:val="28"/>
          <w:szCs w:val="28"/>
        </w:rPr>
      </w:pPr>
      <w:r>
        <w:rPr>
          <w:rFonts w:hint="eastAsia"/>
          <w:sz w:val="28"/>
          <w:szCs w:val="28"/>
        </w:rPr>
        <w:t>e.安全生产管理体系及保证措施；</w:t>
      </w:r>
    </w:p>
    <w:p>
      <w:pPr>
        <w:spacing w:line="360" w:lineRule="auto"/>
        <w:ind w:firstLine="560" w:firstLineChars="200"/>
        <w:rPr>
          <w:sz w:val="28"/>
          <w:szCs w:val="28"/>
        </w:rPr>
      </w:pPr>
      <w:r>
        <w:rPr>
          <w:rFonts w:hint="eastAsia"/>
          <w:sz w:val="28"/>
          <w:szCs w:val="28"/>
        </w:rPr>
        <w:t>f.项目人员岗位职责、分工；</w:t>
      </w:r>
    </w:p>
    <w:p>
      <w:pPr>
        <w:spacing w:line="360" w:lineRule="auto"/>
        <w:ind w:firstLine="560" w:firstLineChars="200"/>
        <w:rPr>
          <w:sz w:val="28"/>
          <w:szCs w:val="28"/>
        </w:rPr>
      </w:pPr>
      <w:r>
        <w:rPr>
          <w:rFonts w:hint="eastAsia"/>
          <w:sz w:val="28"/>
          <w:szCs w:val="28"/>
        </w:rPr>
        <w:t>g.劳动力、机械设备和材料投入计划；</w:t>
      </w:r>
    </w:p>
    <w:p>
      <w:pPr>
        <w:spacing w:line="360" w:lineRule="auto"/>
        <w:ind w:firstLine="560" w:firstLineChars="200"/>
        <w:rPr>
          <w:sz w:val="28"/>
          <w:szCs w:val="28"/>
        </w:rPr>
      </w:pPr>
      <w:r>
        <w:rPr>
          <w:rFonts w:hint="eastAsia"/>
          <w:sz w:val="28"/>
          <w:szCs w:val="28"/>
        </w:rPr>
        <w:t>h.文明施工保证措施；</w:t>
      </w:r>
    </w:p>
    <w:p>
      <w:pPr>
        <w:spacing w:line="360" w:lineRule="auto"/>
        <w:ind w:firstLine="560" w:firstLineChars="200"/>
        <w:rPr>
          <w:sz w:val="28"/>
          <w:szCs w:val="28"/>
        </w:rPr>
      </w:pPr>
      <w:r>
        <w:rPr>
          <w:rFonts w:hint="eastAsia"/>
          <w:sz w:val="28"/>
          <w:szCs w:val="28"/>
        </w:rPr>
        <w:t>i.项目风险预测与防范，事故应急预案；</w:t>
      </w:r>
    </w:p>
    <w:p>
      <w:pPr>
        <w:spacing w:line="360" w:lineRule="auto"/>
        <w:ind w:firstLine="560" w:firstLineChars="200"/>
        <w:rPr>
          <w:sz w:val="28"/>
          <w:szCs w:val="28"/>
        </w:rPr>
      </w:pPr>
      <w:r>
        <w:rPr>
          <w:rFonts w:hint="eastAsia"/>
          <w:sz w:val="28"/>
          <w:szCs w:val="28"/>
        </w:rPr>
        <w:t>j.合理化建议及其他应说明的事项；</w:t>
      </w:r>
    </w:p>
    <w:p>
      <w:pPr>
        <w:spacing w:line="360" w:lineRule="auto"/>
        <w:ind w:firstLine="560" w:firstLineChars="200"/>
        <w:rPr>
          <w:sz w:val="28"/>
          <w:szCs w:val="28"/>
        </w:rPr>
      </w:pPr>
      <w:r>
        <w:rPr>
          <w:rFonts w:hint="eastAsia"/>
          <w:sz w:val="28"/>
          <w:szCs w:val="28"/>
        </w:rPr>
        <w:t>1.5.2响应偏离表（详见附件）</w:t>
      </w:r>
    </w:p>
    <w:p>
      <w:pPr>
        <w:spacing w:line="360" w:lineRule="auto"/>
        <w:ind w:firstLine="560" w:firstLineChars="200"/>
        <w:rPr>
          <w:sz w:val="28"/>
          <w:szCs w:val="28"/>
        </w:rPr>
      </w:pPr>
      <w:r>
        <w:rPr>
          <w:rFonts w:hint="eastAsia"/>
          <w:sz w:val="28"/>
          <w:szCs w:val="28"/>
        </w:rPr>
        <w:t>1.5.3供应商认为需要提供的其他资料。</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w:t>
      </w:r>
      <w:r>
        <w:rPr>
          <w:rFonts w:hint="eastAsia"/>
          <w:b/>
          <w:bCs/>
          <w:sz w:val="28"/>
          <w:szCs w:val="28"/>
        </w:rPr>
        <w:t>以正本为准</w:t>
      </w:r>
      <w:r>
        <w:rPr>
          <w:rFonts w:hint="eastAsia"/>
          <w:sz w:val="28"/>
          <w:szCs w:val="28"/>
        </w:rPr>
        <w:t>。</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r>
        <w:rPr>
          <w:rFonts w:hint="eastAsia"/>
          <w:sz w:val="28"/>
          <w:szCs w:val="28"/>
          <w:lang w:eastAsia="zh-CN"/>
        </w:rPr>
        <w:t>，</w:t>
      </w:r>
      <w:r>
        <w:rPr>
          <w:rFonts w:hint="eastAsia"/>
          <w:sz w:val="28"/>
          <w:szCs w:val="28"/>
          <w:lang w:val="en-US" w:eastAsia="zh-CN"/>
        </w:rPr>
        <w:t>响应文件中报价与报价一览表不一致时，以报价一览表为准</w:t>
      </w:r>
      <w:r>
        <w:rPr>
          <w:rFonts w:hint="eastAsia"/>
          <w:sz w:val="28"/>
          <w:szCs w:val="28"/>
        </w:rPr>
        <w:t>。</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5.1本工程采用工程量清单综合单价的方式进行报价，报价应为供应商的响应文件中提出的各项支付金额的总和。</w:t>
      </w:r>
    </w:p>
    <w:p>
      <w:pPr>
        <w:spacing w:line="360" w:lineRule="auto"/>
        <w:ind w:firstLine="560" w:firstLineChars="200"/>
        <w:rPr>
          <w:sz w:val="28"/>
          <w:szCs w:val="28"/>
        </w:rPr>
      </w:pPr>
      <w:r>
        <w:rPr>
          <w:rFonts w:hint="eastAsia"/>
          <w:sz w:val="28"/>
          <w:szCs w:val="28"/>
        </w:rPr>
        <w:t>5.2供应商应按工程量清单中列出的工程项目填报单价和合价。任何有选择的报价将不予接受，每一项目只允许有一个报价。供应商未填单价或合价的工程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tabs>
          <w:tab w:val="left" w:pos="1418"/>
        </w:tabs>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b/>
          <w:sz w:val="28"/>
          <w:szCs w:val="28"/>
        </w:rPr>
      </w:pPr>
      <w:r>
        <w:rPr>
          <w:rFonts w:hint="eastAsia"/>
          <w:b/>
          <w:sz w:val="28"/>
          <w:szCs w:val="28"/>
        </w:rPr>
        <w:t>第二章  项目说明</w:t>
      </w:r>
    </w:p>
    <w:p>
      <w:pPr>
        <w:rPr>
          <w:b/>
          <w:sz w:val="28"/>
          <w:szCs w:val="28"/>
        </w:rPr>
      </w:pPr>
      <w:bookmarkStart w:id="2" w:name="OLE_LINK18"/>
      <w:bookmarkStart w:id="3" w:name="OLE_LINK20"/>
      <w:bookmarkStart w:id="4" w:name="OLE_LINK15"/>
      <w:bookmarkStart w:id="5" w:name="OLE_LINK17"/>
      <w:bookmarkStart w:id="6" w:name="OLE_LINK21"/>
      <w:bookmarkStart w:id="7" w:name="OLE_LINK16"/>
      <w:bookmarkStart w:id="8" w:name="OLE_LINK19"/>
      <w:r>
        <w:rPr>
          <w:rFonts w:hint="eastAsia"/>
          <w:b/>
          <w:sz w:val="28"/>
          <w:szCs w:val="28"/>
        </w:rPr>
        <w:t>一、项目概况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highlight w:val="none"/>
          <w:lang w:val="en-US" w:eastAsia="zh-CN"/>
        </w:rPr>
      </w:pPr>
      <w:r>
        <w:rPr>
          <w:rFonts w:hint="eastAsia"/>
          <w:sz w:val="28"/>
          <w:szCs w:val="28"/>
          <w:highlight w:val="none"/>
        </w:rPr>
        <w:t>1、</w:t>
      </w:r>
      <w:r>
        <w:rPr>
          <w:rFonts w:hint="default"/>
          <w:sz w:val="28"/>
          <w:szCs w:val="36"/>
          <w:lang w:val="en-US" w:eastAsia="zh-CN"/>
        </w:rPr>
        <w:t>音响设备及LED大屏（</w:t>
      </w:r>
      <w:r>
        <w:rPr>
          <w:rFonts w:hint="eastAsia"/>
          <w:sz w:val="28"/>
          <w:szCs w:val="36"/>
          <w:lang w:val="en-US" w:eastAsia="zh-CN"/>
        </w:rPr>
        <w:t>像素点距</w:t>
      </w:r>
      <w:r>
        <w:rPr>
          <w:rFonts w:hint="default"/>
          <w:sz w:val="28"/>
          <w:szCs w:val="36"/>
          <w:lang w:val="en-US" w:eastAsia="zh-CN"/>
        </w:rPr>
        <w:t>P1.8）安装更换</w:t>
      </w:r>
      <w:r>
        <w:rPr>
          <w:rFonts w:hint="eastAsia"/>
          <w:sz w:val="28"/>
          <w:szCs w:val="36"/>
          <w:lang w:val="en-US" w:eastAsia="zh-CN"/>
        </w:rPr>
        <w:t>，</w:t>
      </w:r>
      <w:r>
        <w:rPr>
          <w:rFonts w:hint="default"/>
          <w:sz w:val="28"/>
          <w:szCs w:val="36"/>
          <w:lang w:val="en-US" w:eastAsia="zh-CN"/>
        </w:rPr>
        <w:t>门扇</w:t>
      </w:r>
      <w:r>
        <w:rPr>
          <w:rFonts w:hint="eastAsia"/>
          <w:sz w:val="28"/>
          <w:szCs w:val="36"/>
          <w:lang w:val="en-US" w:eastAsia="zh-CN"/>
        </w:rPr>
        <w:t>更改开启方向</w:t>
      </w:r>
      <w:r>
        <w:rPr>
          <w:rFonts w:hint="default"/>
          <w:sz w:val="28"/>
          <w:szCs w:val="36"/>
          <w:lang w:val="en-US" w:eastAsia="zh-CN"/>
        </w:rPr>
        <w:t>、电路局部改造</w:t>
      </w:r>
      <w:r>
        <w:rPr>
          <w:rFonts w:hint="eastAsia"/>
          <w:sz w:val="28"/>
          <w:szCs w:val="36"/>
          <w:lang w:val="en-US" w:eastAsia="zh-CN"/>
        </w:rPr>
        <w:t>（LED大屏供电线路安装）</w:t>
      </w:r>
      <w:r>
        <w:rPr>
          <w:rFonts w:hint="default"/>
          <w:sz w:val="28"/>
          <w:szCs w:val="36"/>
          <w:lang w:val="en-US" w:eastAsia="zh-CN"/>
        </w:rPr>
        <w:t>及</w:t>
      </w:r>
      <w:r>
        <w:rPr>
          <w:rFonts w:hint="eastAsia"/>
          <w:sz w:val="28"/>
          <w:szCs w:val="36"/>
          <w:lang w:val="en-US" w:eastAsia="zh-CN"/>
        </w:rPr>
        <w:t>吊顶</w:t>
      </w:r>
      <w:r>
        <w:rPr>
          <w:rFonts w:hint="default"/>
          <w:sz w:val="28"/>
          <w:szCs w:val="36"/>
          <w:lang w:val="en-US" w:eastAsia="zh-CN"/>
        </w:rPr>
        <w:t>粉刷</w:t>
      </w:r>
      <w:r>
        <w:rPr>
          <w:rFonts w:hint="eastAsia"/>
          <w:sz w:val="28"/>
          <w:szCs w:val="36"/>
          <w:lang w:val="en-US" w:eastAsia="zh-CN"/>
        </w:rPr>
        <w:t>，舞台背景墙板与地毯更新</w:t>
      </w:r>
      <w:r>
        <w:rPr>
          <w:rFonts w:hint="default"/>
          <w:sz w:val="28"/>
          <w:szCs w:val="36"/>
          <w:lang w:val="en-US" w:eastAsia="zh-CN"/>
        </w:rPr>
        <w:t>等</w:t>
      </w:r>
      <w:r>
        <w:rPr>
          <w:rFonts w:hint="eastAsia"/>
          <w:sz w:val="28"/>
          <w:szCs w:val="36"/>
          <w:lang w:val="en-US" w:eastAsia="zh-CN"/>
        </w:rPr>
        <w:t>，</w:t>
      </w:r>
      <w:r>
        <w:rPr>
          <w:rFonts w:hint="eastAsia"/>
          <w:sz w:val="28"/>
          <w:szCs w:val="28"/>
          <w:highlight w:val="none"/>
          <w:lang w:val="en-US" w:eastAsia="zh-CN"/>
        </w:rPr>
        <w:t>详见工程量清单。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highlight w:val="none"/>
        </w:rPr>
      </w:pPr>
      <w:r>
        <w:rPr>
          <w:rFonts w:hint="eastAsia"/>
          <w:sz w:val="28"/>
          <w:szCs w:val="28"/>
          <w:highlight w:val="none"/>
          <w:lang w:val="en-US" w:eastAsia="zh-CN"/>
        </w:rPr>
        <w:t>注：不仅含以上工作内容，投标单位勘察现场综合考虑</w:t>
      </w:r>
      <w:r>
        <w:rPr>
          <w:rFonts w:hint="eastAsia"/>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highlight w:val="none"/>
        </w:rPr>
      </w:pPr>
      <w:r>
        <w:rPr>
          <w:rFonts w:hint="eastAsia"/>
          <w:sz w:val="28"/>
          <w:szCs w:val="28"/>
          <w:highlight w:val="none"/>
        </w:rPr>
        <w:t>2、采购控制价：</w:t>
      </w:r>
      <w:r>
        <w:rPr>
          <w:rFonts w:hint="eastAsia"/>
          <w:sz w:val="28"/>
          <w:szCs w:val="28"/>
          <w:highlight w:val="none"/>
          <w:lang w:val="en-US" w:eastAsia="zh-CN"/>
        </w:rPr>
        <w:t>34</w:t>
      </w:r>
      <w:r>
        <w:rPr>
          <w:rFonts w:hint="eastAsia"/>
          <w:sz w:val="28"/>
          <w:szCs w:val="28"/>
          <w:highlight w:val="none"/>
        </w:rPr>
        <w:t>万元</w:t>
      </w:r>
    </w:p>
    <w:p>
      <w:pPr>
        <w:ind w:firstLine="560" w:firstLineChars="200"/>
        <w:jc w:val="left"/>
        <w:rPr>
          <w:rFonts w:hint="default" w:eastAsiaTheme="minorEastAsia"/>
          <w:sz w:val="28"/>
          <w:szCs w:val="28"/>
          <w:highlight w:val="none"/>
          <w:lang w:val="en-US" w:eastAsia="zh-CN"/>
        </w:rPr>
      </w:pPr>
      <w:r>
        <w:rPr>
          <w:rFonts w:hint="eastAsia"/>
          <w:sz w:val="28"/>
          <w:szCs w:val="28"/>
          <w:highlight w:val="none"/>
        </w:rPr>
        <w:t>3、工期：</w:t>
      </w:r>
      <w:r>
        <w:rPr>
          <w:rFonts w:hint="eastAsia"/>
          <w:sz w:val="28"/>
          <w:szCs w:val="28"/>
          <w:highlight w:val="none"/>
          <w:lang w:val="en-US" w:eastAsia="zh-CN"/>
        </w:rPr>
        <w:t>10天</w:t>
      </w:r>
    </w:p>
    <w:p>
      <w:pPr>
        <w:spacing w:line="360" w:lineRule="auto"/>
        <w:ind w:firstLine="560" w:firstLineChars="200"/>
        <w:rPr>
          <w:rFonts w:hint="eastAsia" w:eastAsiaTheme="minorEastAsia"/>
          <w:sz w:val="28"/>
          <w:szCs w:val="28"/>
          <w:lang w:eastAsia="zh-CN"/>
        </w:rPr>
      </w:pPr>
      <w:r>
        <w:rPr>
          <w:rFonts w:hint="eastAsia"/>
          <w:sz w:val="28"/>
          <w:szCs w:val="28"/>
        </w:rPr>
        <w:t>4、质保期：设备质保期自竣工验收合格之日起不低于</w:t>
      </w:r>
      <w:r>
        <w:rPr>
          <w:rFonts w:hint="eastAsia"/>
          <w:sz w:val="28"/>
          <w:szCs w:val="28"/>
          <w:lang w:val="en-US" w:eastAsia="zh-CN"/>
        </w:rPr>
        <w:t>2</w:t>
      </w:r>
      <w:r>
        <w:rPr>
          <w:rFonts w:hint="eastAsia"/>
          <w:sz w:val="28"/>
          <w:szCs w:val="28"/>
        </w:rPr>
        <w:t>年</w:t>
      </w:r>
      <w:r>
        <w:rPr>
          <w:rFonts w:hint="eastAsia"/>
          <w:sz w:val="28"/>
          <w:szCs w:val="28"/>
          <w:lang w:eastAsia="zh-CN"/>
        </w:rPr>
        <w:t>。</w:t>
      </w:r>
    </w:p>
    <w:p>
      <w:pPr>
        <w:ind w:firstLine="275" w:firstLineChars="98"/>
        <w:jc w:val="left"/>
        <w:rPr>
          <w:b/>
          <w:sz w:val="28"/>
          <w:szCs w:val="28"/>
        </w:rPr>
      </w:pPr>
      <w:r>
        <w:rPr>
          <w:rFonts w:hint="eastAsia"/>
          <w:b/>
          <w:sz w:val="28"/>
          <w:szCs w:val="28"/>
        </w:rPr>
        <w:t>二、技术要求</w:t>
      </w:r>
    </w:p>
    <w:p>
      <w:pPr>
        <w:spacing w:line="360" w:lineRule="auto"/>
        <w:ind w:firstLine="560" w:firstLineChars="200"/>
        <w:rPr>
          <w:rFonts w:hint="eastAsia"/>
          <w:sz w:val="28"/>
          <w:szCs w:val="28"/>
        </w:rPr>
      </w:pPr>
      <w:r>
        <w:rPr>
          <w:rFonts w:hint="eastAsia"/>
          <w:sz w:val="28"/>
          <w:szCs w:val="28"/>
          <w:lang w:val="en-US" w:eastAsia="zh-CN"/>
        </w:rPr>
        <w:t>1、</w:t>
      </w:r>
      <w:r>
        <w:rPr>
          <w:rFonts w:hint="eastAsia"/>
          <w:sz w:val="28"/>
          <w:szCs w:val="28"/>
        </w:rPr>
        <w:t>所有设备必须为合格产品，质量达到国家有关标准，对人和环境无毒无害的绿色环保材料。</w:t>
      </w:r>
    </w:p>
    <w:p>
      <w:pPr>
        <w:spacing w:line="360" w:lineRule="auto"/>
        <w:ind w:firstLine="560" w:firstLineChars="200"/>
        <w:rPr>
          <w:rFonts w:hint="eastAsia"/>
          <w:sz w:val="28"/>
          <w:szCs w:val="28"/>
        </w:rPr>
      </w:pPr>
      <w:r>
        <w:rPr>
          <w:rFonts w:hint="eastAsia"/>
          <w:sz w:val="28"/>
          <w:szCs w:val="28"/>
        </w:rPr>
        <w:t>2</w:t>
      </w:r>
      <w:r>
        <w:rPr>
          <w:rFonts w:hint="eastAsia"/>
          <w:sz w:val="28"/>
          <w:szCs w:val="28"/>
          <w:lang w:eastAsia="zh-CN"/>
        </w:rPr>
        <w:t>、</w:t>
      </w:r>
      <w:r>
        <w:rPr>
          <w:rFonts w:hint="eastAsia"/>
          <w:sz w:val="28"/>
          <w:szCs w:val="28"/>
        </w:rPr>
        <w:t>保证安全、文明施工，要求施工场地整洁有序。</w:t>
      </w:r>
    </w:p>
    <w:p>
      <w:pPr>
        <w:spacing w:line="360" w:lineRule="auto"/>
        <w:ind w:firstLine="560" w:firstLineChars="200"/>
        <w:rPr>
          <w:rFonts w:hint="eastAsia"/>
          <w:sz w:val="28"/>
          <w:szCs w:val="28"/>
        </w:rPr>
      </w:pPr>
      <w:r>
        <w:rPr>
          <w:rFonts w:hint="eastAsia"/>
          <w:sz w:val="28"/>
          <w:szCs w:val="28"/>
        </w:rPr>
        <w:t>3</w:t>
      </w:r>
      <w:r>
        <w:rPr>
          <w:rFonts w:hint="eastAsia"/>
          <w:sz w:val="28"/>
          <w:szCs w:val="28"/>
          <w:lang w:eastAsia="zh-CN"/>
        </w:rPr>
        <w:t>、</w:t>
      </w:r>
      <w:r>
        <w:rPr>
          <w:rFonts w:hint="eastAsia"/>
          <w:sz w:val="28"/>
          <w:szCs w:val="28"/>
        </w:rPr>
        <w:t>必须严格按照国家工程技术规范标准施工，并达到国家工程质量验收规范标准。</w:t>
      </w:r>
    </w:p>
    <w:p>
      <w:pPr>
        <w:spacing w:line="360" w:lineRule="auto"/>
        <w:ind w:firstLine="560" w:firstLineChars="200"/>
        <w:rPr>
          <w:rFonts w:hint="eastAsia"/>
          <w:sz w:val="28"/>
          <w:szCs w:val="28"/>
        </w:rPr>
      </w:pPr>
      <w:r>
        <w:rPr>
          <w:rFonts w:hint="eastAsia"/>
          <w:sz w:val="28"/>
          <w:szCs w:val="28"/>
        </w:rPr>
        <w:t>4</w:t>
      </w:r>
      <w:r>
        <w:rPr>
          <w:rFonts w:hint="eastAsia"/>
          <w:sz w:val="28"/>
          <w:szCs w:val="28"/>
          <w:lang w:eastAsia="zh-CN"/>
        </w:rPr>
        <w:t>、</w:t>
      </w:r>
      <w:r>
        <w:rPr>
          <w:rFonts w:hint="eastAsia"/>
          <w:sz w:val="28"/>
          <w:szCs w:val="28"/>
        </w:rPr>
        <w:t>投标人应保证物资是全新、未使用过的合格产品。并完全符合合同规定的质量、规格和性能要求。</w:t>
      </w:r>
    </w:p>
    <w:p>
      <w:pPr>
        <w:spacing w:line="360" w:lineRule="auto"/>
        <w:ind w:firstLine="560" w:firstLineChars="200"/>
        <w:rPr>
          <w:rFonts w:hint="eastAsia"/>
        </w:rPr>
      </w:pPr>
      <w:r>
        <w:rPr>
          <w:rFonts w:hint="eastAsia"/>
          <w:sz w:val="28"/>
          <w:szCs w:val="28"/>
        </w:rPr>
        <w:t>5</w:t>
      </w:r>
      <w:r>
        <w:rPr>
          <w:rFonts w:hint="eastAsia"/>
          <w:sz w:val="28"/>
          <w:szCs w:val="28"/>
          <w:lang w:eastAsia="zh-CN"/>
        </w:rPr>
        <w:t>、</w:t>
      </w:r>
      <w:r>
        <w:rPr>
          <w:rFonts w:hint="eastAsia"/>
          <w:sz w:val="28"/>
          <w:szCs w:val="28"/>
        </w:rPr>
        <w:t>远程会议时可实现摄像发言人跟踪功能。</w:t>
      </w:r>
    </w:p>
    <w:p>
      <w:pPr>
        <w:ind w:firstLine="301" w:firstLineChars="100"/>
        <w:rPr>
          <w:rFonts w:hint="default" w:eastAsiaTheme="minorEastAsia"/>
          <w:b/>
          <w:sz w:val="30"/>
          <w:szCs w:val="30"/>
          <w:lang w:val="en-US" w:eastAsia="zh-CN"/>
        </w:rPr>
      </w:pPr>
      <w:r>
        <w:rPr>
          <w:rFonts w:hint="eastAsia"/>
          <w:b/>
          <w:sz w:val="30"/>
          <w:szCs w:val="30"/>
        </w:rPr>
        <w:t xml:space="preserve"> 三、</w:t>
      </w:r>
      <w:r>
        <w:rPr>
          <w:rFonts w:hint="eastAsia"/>
          <w:b/>
          <w:sz w:val="30"/>
          <w:szCs w:val="30"/>
          <w:lang w:val="en-US" w:eastAsia="zh-CN"/>
        </w:rPr>
        <w:t>改造清单及产品参数等</w:t>
      </w:r>
    </w:p>
    <w:tbl>
      <w:tblPr>
        <w:tblStyle w:val="9"/>
        <w:tblpPr w:leftFromText="180" w:rightFromText="180" w:vertAnchor="text" w:horzAnchor="page" w:tblpX="1052" w:tblpY="733"/>
        <w:tblOverlap w:val="never"/>
        <w:tblW w:w="10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8"/>
        <w:gridCol w:w="730"/>
        <w:gridCol w:w="6769"/>
        <w:gridCol w:w="631"/>
        <w:gridCol w:w="585"/>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产品名称</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产品参数</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推荐品牌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trPr>
        <w:tc>
          <w:tcPr>
            <w:tcW w:w="102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b/>
                <w:bCs/>
                <w:i w:val="0"/>
                <w:iCs w:val="0"/>
                <w:color w:val="000000" w:themeColor="text1"/>
                <w:sz w:val="32"/>
                <w:szCs w:val="32"/>
                <w:u w:val="none"/>
                <w:lang w:val="en-US" w:eastAsia="zh-CN"/>
                <w14:textFill>
                  <w14:solidFill>
                    <w14:schemeClr w14:val="tx1"/>
                  </w14:solidFill>
                </w14:textFill>
              </w:rPr>
              <w:t>设备部分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6"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一拖四无线手持话筒</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1.一拖四无线手持话筒，支持混合和独立输出；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2.具有LCD显示屏，可显示RF和AF信号强度，频率，频率组/频道等工作状态；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3.支持红外线数据自动同步（SYNC）， 能快速将接收机频率同步到发射器上；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4.支持≥200个调谐频点可选；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5.使用距离理想环境不低于80m，复杂环境使用距离不低于20-45m；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6.频率范围：≥610MHz-670MHz；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7.CQC华南实验室检测报告（具有CMA、ilac.MRA、CNAS标志）</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iSonicavct（艾索）</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p>
            <w:pPr>
              <w:jc w:val="left"/>
              <w:rPr>
                <w:rFonts w:hint="eastAsia" w:ascii="宋体" w:hAnsi="宋体" w:eastAsia="宋体" w:cs="宋体"/>
                <w:i w:val="0"/>
                <w:iCs w:val="0"/>
                <w:color w:val="FF0000"/>
                <w:sz w:val="20"/>
                <w:szCs w:val="20"/>
                <w:u w:val="none"/>
                <w:lang w:eastAsia="zh-CN"/>
              </w:rPr>
            </w:pPr>
            <w:r>
              <w:rPr>
                <w:rFonts w:hint="eastAsia" w:ascii="宋体" w:hAnsi="宋体" w:eastAsia="宋体" w:cs="宋体"/>
                <w:i w:val="0"/>
                <w:iCs w:val="0"/>
                <w:color w:val="000000" w:themeColor="text1"/>
                <w:sz w:val="20"/>
                <w:szCs w:val="20"/>
                <w:u w:val="none"/>
                <w:lang w:eastAsia="zh-CN"/>
                <w14:textFill>
                  <w14:solidFill>
                    <w14:schemeClr w14:val="tx1"/>
                  </w14:solidFill>
                </w14:textFill>
              </w:rPr>
              <w:t>DJG（科盟）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无线视像跟踪数字会议系统主机</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1.无线数字会议系统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2.产品采用数字无线处理音频信号和控制信号，无需繁琐的连线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3.系统最多支持单元数量可达99只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4.CPU多级纠错和加密扰码，抗电磁、手机干扰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5.具有先进先出和限制发言、主席专用三种发言模式，同时发言人数1-4人可选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6.主机大屏幕（240X128）点阵LCD显示工作内容，实时显示发言人数，通道顺序，信道位置与单元电量数据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7.分级菜单设计，具有音量调节，发言模式，发言人数，使用信道，EQ功能，通信IP和通信ID调节功能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8.主席优先控制功能，不受限制功能的限制，可切断代表发言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9.使用距离：30-100米，通讯距离：60-100米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10.会议智能化管理设置软件著作权登记证书 CQC华南实验室检测报告（具有CMA、ilac.MRA、CNAS标志）</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iSonicavct（艾索）</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lang w:eastAsia="zh-CN"/>
                <w14:textFill>
                  <w14:solidFill>
                    <w14:schemeClr w14:val="tx1"/>
                  </w14:solidFill>
                </w14:textFill>
              </w:rPr>
              <w:t>DJG（科盟）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无线便携式主席单元</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1.话筒杆采用短咪杆和高灵敏度拾音设计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2.具备视像跟踪功能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3.内置电量监视功能，实时显示电池电量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4.可选择1到4只话筒发言的先入先出模式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5.红色多角度雾面指示灯设计,指示发言状态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6.主席话筒具有主席优先键功能，可以关闭正在发言的代表单元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7.高灵敏度金膜录音咪头，超指向性收音效果，有效拾音距离可达60cm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8.电池容量：1200mAh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9.发言时间：6-8小时，待机时间：&lt;24小时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10.充电接口：Micro USB （安卓接口）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11.会议智能化管理设置软件著作权登记证书 CQC华南实验室检测报告（具有CMA、ilac.MRA、CNAS标志）</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iSonicavct（艾索）</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lang w:eastAsia="zh-CN"/>
                <w14:textFill>
                  <w14:solidFill>
                    <w14:schemeClr w14:val="tx1"/>
                  </w14:solidFill>
                </w14:textFill>
              </w:rPr>
              <w:t>DJG（科盟）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无线便携式代表单元</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1.话筒杆采用短咪杆和高灵敏度拾音设计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2.具备视像跟踪功能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3.内置电量监视功能，实时显示电池电量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4.可选择1到4只话筒发言的先入先出模式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5.红色多角度雾面指示灯设计,指示发言状态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6.高灵敏度金膜录音咪头，超指向性收音效果，有效拾音距离可达60cm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7.电池容量：1200mAh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8.发言时间：6-8小时，待机时间：&lt;24小时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9.充电接口：Micro USB （安卓接口）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10.会议智能化管理设置软件著作权登记证书 CQC华南实验室检测报告（具有CMA、ilac.MRA、CNAS标志）</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iSonicavct（艾索）</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lang w:eastAsia="zh-CN"/>
                <w14:textFill>
                  <w14:solidFill>
                    <w14:schemeClr w14:val="tx1"/>
                  </w14:solidFill>
                </w14:textFill>
              </w:rPr>
              <w:t>DJG（科盟）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无线会议单元充电器</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1.每个槽位具备完全独立的充，放电进程，消除记忆效应内建微处理器侦测负压差判停，辅以最大时间保护机制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2.全球通用100V-240V电压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3.完全的单回路设计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4.可以对1到12只话筒任意充，放电充，放电</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iSonicavct（艾索）</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lang w:eastAsia="zh-CN"/>
                <w14:textFill>
                  <w14:solidFill>
                    <w14:schemeClr w14:val="tx1"/>
                  </w14:solidFill>
                </w14:textFill>
              </w:rPr>
              <w:t>DJG（科盟）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音视频管理一体机</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0" cy="302260"/>
                  <wp:effectExtent l="0" t="0" r="0" b="0"/>
                  <wp:wrapNone/>
                  <wp:docPr id="22" name="AutoShape_515"/>
                  <wp:cNvGraphicFramePr/>
                  <a:graphic xmlns:a="http://schemas.openxmlformats.org/drawingml/2006/main">
                    <a:graphicData uri="http://schemas.openxmlformats.org/drawingml/2006/picture">
                      <pic:pic xmlns:pic="http://schemas.openxmlformats.org/drawingml/2006/picture">
                        <pic:nvPicPr>
                          <pic:cNvPr id="22" name="AutoShape_515"/>
                          <pic:cNvPicPr/>
                        </pic:nvPicPr>
                        <pic:blipFill>
                          <a:blip r:embed="rId4"/>
                          <a:stretch>
                            <a:fillRect/>
                          </a:stretch>
                        </pic:blipFill>
                        <pic:spPr>
                          <a:xfrm>
                            <a:off x="0" y="0"/>
                            <a:ext cx="330200" cy="3022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0" cy="302260"/>
                  <wp:effectExtent l="0" t="0" r="0" b="0"/>
                  <wp:wrapNone/>
                  <wp:docPr id="16" name="AutoShape_515_SpCnt_1"/>
                  <wp:cNvGraphicFramePr/>
                  <a:graphic xmlns:a="http://schemas.openxmlformats.org/drawingml/2006/main">
                    <a:graphicData uri="http://schemas.openxmlformats.org/drawingml/2006/picture">
                      <pic:pic xmlns:pic="http://schemas.openxmlformats.org/drawingml/2006/picture">
                        <pic:nvPicPr>
                          <pic:cNvPr id="16" name="AutoShape_515_SpCnt_1"/>
                          <pic:cNvPicPr/>
                        </pic:nvPicPr>
                        <pic:blipFill>
                          <a:blip r:embed="rId4"/>
                          <a:stretch>
                            <a:fillRect/>
                          </a:stretch>
                        </pic:blipFill>
                        <pic:spPr>
                          <a:xfrm>
                            <a:off x="0" y="0"/>
                            <a:ext cx="330200" cy="3022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30" name="AutoShape_515_SpCnt_2"/>
                  <wp:cNvGraphicFramePr/>
                  <a:graphic xmlns:a="http://schemas.openxmlformats.org/drawingml/2006/main">
                    <a:graphicData uri="http://schemas.openxmlformats.org/drawingml/2006/picture">
                      <pic:pic xmlns:pic="http://schemas.openxmlformats.org/drawingml/2006/picture">
                        <pic:nvPicPr>
                          <pic:cNvPr id="30" name="AutoShape_515_SpCnt_2"/>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34" name="AutoShape_515_SpCnt_3"/>
                  <wp:cNvGraphicFramePr/>
                  <a:graphic xmlns:a="http://schemas.openxmlformats.org/drawingml/2006/main">
                    <a:graphicData uri="http://schemas.openxmlformats.org/drawingml/2006/picture">
                      <pic:pic xmlns:pic="http://schemas.openxmlformats.org/drawingml/2006/picture">
                        <pic:nvPicPr>
                          <pic:cNvPr id="34" name="AutoShape_515_SpCnt_3"/>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0" cy="302260"/>
                  <wp:effectExtent l="0" t="0" r="0" b="0"/>
                  <wp:wrapNone/>
                  <wp:docPr id="25" name="AutoShape_515_SpCnt_4"/>
                  <wp:cNvGraphicFramePr/>
                  <a:graphic xmlns:a="http://schemas.openxmlformats.org/drawingml/2006/main">
                    <a:graphicData uri="http://schemas.openxmlformats.org/drawingml/2006/picture">
                      <pic:pic xmlns:pic="http://schemas.openxmlformats.org/drawingml/2006/picture">
                        <pic:nvPicPr>
                          <pic:cNvPr id="25" name="AutoShape_515_SpCnt_4"/>
                          <pic:cNvPicPr/>
                        </pic:nvPicPr>
                        <pic:blipFill>
                          <a:blip r:embed="rId4"/>
                          <a:stretch>
                            <a:fillRect/>
                          </a:stretch>
                        </pic:blipFill>
                        <pic:spPr>
                          <a:xfrm>
                            <a:off x="0" y="0"/>
                            <a:ext cx="330200" cy="3022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26" name="AutoShape_515_SpCnt_5"/>
                  <wp:cNvGraphicFramePr/>
                  <a:graphic xmlns:a="http://schemas.openxmlformats.org/drawingml/2006/main">
                    <a:graphicData uri="http://schemas.openxmlformats.org/drawingml/2006/picture">
                      <pic:pic xmlns:pic="http://schemas.openxmlformats.org/drawingml/2006/picture">
                        <pic:nvPicPr>
                          <pic:cNvPr id="26" name="AutoShape_515_SpCnt_5"/>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35" name="AutoShape_515_SpCnt_6"/>
                  <wp:cNvGraphicFramePr/>
                  <a:graphic xmlns:a="http://schemas.openxmlformats.org/drawingml/2006/main">
                    <a:graphicData uri="http://schemas.openxmlformats.org/drawingml/2006/picture">
                      <pic:pic xmlns:pic="http://schemas.openxmlformats.org/drawingml/2006/picture">
                        <pic:nvPicPr>
                          <pic:cNvPr id="35" name="AutoShape_515_SpCnt_6"/>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27" name="AutoShape_515_SpCnt_7"/>
                  <wp:cNvGraphicFramePr/>
                  <a:graphic xmlns:a="http://schemas.openxmlformats.org/drawingml/2006/main">
                    <a:graphicData uri="http://schemas.openxmlformats.org/drawingml/2006/picture">
                      <pic:pic xmlns:pic="http://schemas.openxmlformats.org/drawingml/2006/picture">
                        <pic:nvPicPr>
                          <pic:cNvPr id="27" name="AutoShape_515_SpCnt_7"/>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3" name="AutoShape_515_SpCnt_8"/>
                  <wp:cNvGraphicFramePr/>
                  <a:graphic xmlns:a="http://schemas.openxmlformats.org/drawingml/2006/main">
                    <a:graphicData uri="http://schemas.openxmlformats.org/drawingml/2006/picture">
                      <pic:pic xmlns:pic="http://schemas.openxmlformats.org/drawingml/2006/picture">
                        <pic:nvPicPr>
                          <pic:cNvPr id="13" name="AutoShape_515_SpCnt_8"/>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33" name="AutoShape_515_SpCnt_9"/>
                  <wp:cNvGraphicFramePr/>
                  <a:graphic xmlns:a="http://schemas.openxmlformats.org/drawingml/2006/main">
                    <a:graphicData uri="http://schemas.openxmlformats.org/drawingml/2006/picture">
                      <pic:pic xmlns:pic="http://schemas.openxmlformats.org/drawingml/2006/picture">
                        <pic:nvPicPr>
                          <pic:cNvPr id="33" name="AutoShape_515_SpCnt_9"/>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2" name="AutoShape_515_SpCnt_10"/>
                  <wp:cNvGraphicFramePr/>
                  <a:graphic xmlns:a="http://schemas.openxmlformats.org/drawingml/2006/main">
                    <a:graphicData uri="http://schemas.openxmlformats.org/drawingml/2006/picture">
                      <pic:pic xmlns:pic="http://schemas.openxmlformats.org/drawingml/2006/picture">
                        <pic:nvPicPr>
                          <pic:cNvPr id="12" name="AutoShape_515_SpCnt_10"/>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7" name="AutoShape_515_SpCnt_11"/>
                  <wp:cNvGraphicFramePr/>
                  <a:graphic xmlns:a="http://schemas.openxmlformats.org/drawingml/2006/main">
                    <a:graphicData uri="http://schemas.openxmlformats.org/drawingml/2006/picture">
                      <pic:pic xmlns:pic="http://schemas.openxmlformats.org/drawingml/2006/picture">
                        <pic:nvPicPr>
                          <pic:cNvPr id="17" name="AutoShape_515_SpCnt_11"/>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20" name="AutoShape_515_SpCnt_12"/>
                  <wp:cNvGraphicFramePr/>
                  <a:graphic xmlns:a="http://schemas.openxmlformats.org/drawingml/2006/main">
                    <a:graphicData uri="http://schemas.openxmlformats.org/drawingml/2006/picture">
                      <pic:pic xmlns:pic="http://schemas.openxmlformats.org/drawingml/2006/picture">
                        <pic:nvPicPr>
                          <pic:cNvPr id="20" name="AutoShape_515_SpCnt_12"/>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23" name="AutoShape_515_SpCnt_13"/>
                  <wp:cNvGraphicFramePr/>
                  <a:graphic xmlns:a="http://schemas.openxmlformats.org/drawingml/2006/main">
                    <a:graphicData uri="http://schemas.openxmlformats.org/drawingml/2006/picture">
                      <pic:pic xmlns:pic="http://schemas.openxmlformats.org/drawingml/2006/picture">
                        <pic:nvPicPr>
                          <pic:cNvPr id="23" name="AutoShape_515_SpCnt_13"/>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0" cy="302260"/>
                  <wp:effectExtent l="0" t="0" r="0" b="0"/>
                  <wp:wrapNone/>
                  <wp:docPr id="14" name="AutoShape_515_SpCnt_14"/>
                  <wp:cNvGraphicFramePr/>
                  <a:graphic xmlns:a="http://schemas.openxmlformats.org/drawingml/2006/main">
                    <a:graphicData uri="http://schemas.openxmlformats.org/drawingml/2006/picture">
                      <pic:pic xmlns:pic="http://schemas.openxmlformats.org/drawingml/2006/picture">
                        <pic:nvPicPr>
                          <pic:cNvPr id="14" name="AutoShape_515_SpCnt_14"/>
                          <pic:cNvPicPr/>
                        </pic:nvPicPr>
                        <pic:blipFill>
                          <a:blip r:embed="rId4"/>
                          <a:stretch>
                            <a:fillRect/>
                          </a:stretch>
                        </pic:blipFill>
                        <pic:spPr>
                          <a:xfrm>
                            <a:off x="0" y="0"/>
                            <a:ext cx="330200" cy="3022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0" cy="302260"/>
                  <wp:effectExtent l="0" t="0" r="0" b="0"/>
                  <wp:wrapNone/>
                  <wp:docPr id="11" name="AutoShape_515_SpCnt_15"/>
                  <wp:cNvGraphicFramePr/>
                  <a:graphic xmlns:a="http://schemas.openxmlformats.org/drawingml/2006/main">
                    <a:graphicData uri="http://schemas.openxmlformats.org/drawingml/2006/picture">
                      <pic:pic xmlns:pic="http://schemas.openxmlformats.org/drawingml/2006/picture">
                        <pic:nvPicPr>
                          <pic:cNvPr id="11" name="AutoShape_515_SpCnt_15"/>
                          <pic:cNvPicPr/>
                        </pic:nvPicPr>
                        <pic:blipFill>
                          <a:blip r:embed="rId4"/>
                          <a:stretch>
                            <a:fillRect/>
                          </a:stretch>
                        </pic:blipFill>
                        <pic:spPr>
                          <a:xfrm>
                            <a:off x="0" y="0"/>
                            <a:ext cx="330200" cy="3022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8" name="AutoShape_515_SpCnt_16"/>
                  <wp:cNvGraphicFramePr/>
                  <a:graphic xmlns:a="http://schemas.openxmlformats.org/drawingml/2006/main">
                    <a:graphicData uri="http://schemas.openxmlformats.org/drawingml/2006/picture">
                      <pic:pic xmlns:pic="http://schemas.openxmlformats.org/drawingml/2006/picture">
                        <pic:nvPicPr>
                          <pic:cNvPr id="18" name="AutoShape_515_SpCnt_16"/>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5" name="AutoShape_515_SpCnt_17"/>
                  <wp:cNvGraphicFramePr/>
                  <a:graphic xmlns:a="http://schemas.openxmlformats.org/drawingml/2006/main">
                    <a:graphicData uri="http://schemas.openxmlformats.org/drawingml/2006/picture">
                      <pic:pic xmlns:pic="http://schemas.openxmlformats.org/drawingml/2006/picture">
                        <pic:nvPicPr>
                          <pic:cNvPr id="15" name="AutoShape_515_SpCnt_17"/>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9" name="AutoShape_515_SpCnt_18"/>
                  <wp:cNvGraphicFramePr/>
                  <a:graphic xmlns:a="http://schemas.openxmlformats.org/drawingml/2006/main">
                    <a:graphicData uri="http://schemas.openxmlformats.org/drawingml/2006/picture">
                      <pic:pic xmlns:pic="http://schemas.openxmlformats.org/drawingml/2006/picture">
                        <pic:nvPicPr>
                          <pic:cNvPr id="19" name="AutoShape_515_SpCnt_18"/>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29" name="AutoShape_515_SpCnt_19"/>
                  <wp:cNvGraphicFramePr/>
                  <a:graphic xmlns:a="http://schemas.openxmlformats.org/drawingml/2006/main">
                    <a:graphicData uri="http://schemas.openxmlformats.org/drawingml/2006/picture">
                      <pic:pic xmlns:pic="http://schemas.openxmlformats.org/drawingml/2006/picture">
                        <pic:nvPicPr>
                          <pic:cNvPr id="29" name="AutoShape_515_SpCnt_19"/>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21" name="AutoShape_515_SpCnt_20"/>
                  <wp:cNvGraphicFramePr/>
                  <a:graphic xmlns:a="http://schemas.openxmlformats.org/drawingml/2006/main">
                    <a:graphicData uri="http://schemas.openxmlformats.org/drawingml/2006/picture">
                      <pic:pic xmlns:pic="http://schemas.openxmlformats.org/drawingml/2006/picture">
                        <pic:nvPicPr>
                          <pic:cNvPr id="21" name="AutoShape_515_SpCnt_20"/>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24" name="AutoShape_515_SpCnt_21"/>
                  <wp:cNvGraphicFramePr/>
                  <a:graphic xmlns:a="http://schemas.openxmlformats.org/drawingml/2006/main">
                    <a:graphicData uri="http://schemas.openxmlformats.org/drawingml/2006/picture">
                      <pic:pic xmlns:pic="http://schemas.openxmlformats.org/drawingml/2006/picture">
                        <pic:nvPicPr>
                          <pic:cNvPr id="24" name="AutoShape_515_SpCnt_21"/>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31" name="AutoShape_515_SpCnt_22"/>
                  <wp:cNvGraphicFramePr/>
                  <a:graphic xmlns:a="http://schemas.openxmlformats.org/drawingml/2006/main">
                    <a:graphicData uri="http://schemas.openxmlformats.org/drawingml/2006/picture">
                      <pic:pic xmlns:pic="http://schemas.openxmlformats.org/drawingml/2006/picture">
                        <pic:nvPicPr>
                          <pic:cNvPr id="31" name="AutoShape_515_SpCnt_22"/>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28" name="AutoShape_515_SpCnt_23"/>
                  <wp:cNvGraphicFramePr/>
                  <a:graphic xmlns:a="http://schemas.openxmlformats.org/drawingml/2006/main">
                    <a:graphicData uri="http://schemas.openxmlformats.org/drawingml/2006/picture">
                      <pic:pic xmlns:pic="http://schemas.openxmlformats.org/drawingml/2006/picture">
                        <pic:nvPicPr>
                          <pic:cNvPr id="28" name="AutoShape_515_SpCnt_23"/>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43" name="AutoShape_515_SpCnt_24"/>
                  <wp:cNvGraphicFramePr/>
                  <a:graphic xmlns:a="http://schemas.openxmlformats.org/drawingml/2006/main">
                    <a:graphicData uri="http://schemas.openxmlformats.org/drawingml/2006/picture">
                      <pic:pic xmlns:pic="http://schemas.openxmlformats.org/drawingml/2006/picture">
                        <pic:nvPicPr>
                          <pic:cNvPr id="43" name="AutoShape_515_SpCnt_24"/>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0" cy="302260"/>
                  <wp:effectExtent l="0" t="0" r="0" b="0"/>
                  <wp:wrapNone/>
                  <wp:docPr id="38" name="AutoShape_515_SpCnt_25"/>
                  <wp:cNvGraphicFramePr/>
                  <a:graphic xmlns:a="http://schemas.openxmlformats.org/drawingml/2006/main">
                    <a:graphicData uri="http://schemas.openxmlformats.org/drawingml/2006/picture">
                      <pic:pic xmlns:pic="http://schemas.openxmlformats.org/drawingml/2006/picture">
                        <pic:nvPicPr>
                          <pic:cNvPr id="38" name="AutoShape_515_SpCnt_25"/>
                          <pic:cNvPicPr/>
                        </pic:nvPicPr>
                        <pic:blipFill>
                          <a:blip r:embed="rId4"/>
                          <a:stretch>
                            <a:fillRect/>
                          </a:stretch>
                        </pic:blipFill>
                        <pic:spPr>
                          <a:xfrm>
                            <a:off x="0" y="0"/>
                            <a:ext cx="330200" cy="3022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64" name="AutoShape_515_SpCnt_26"/>
                  <wp:cNvGraphicFramePr/>
                  <a:graphic xmlns:a="http://schemas.openxmlformats.org/drawingml/2006/main">
                    <a:graphicData uri="http://schemas.openxmlformats.org/drawingml/2006/picture">
                      <pic:pic xmlns:pic="http://schemas.openxmlformats.org/drawingml/2006/picture">
                        <pic:nvPicPr>
                          <pic:cNvPr id="64" name="AutoShape_515_SpCnt_26"/>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51" name="AutoShape_515_SpCnt_27"/>
                  <wp:cNvGraphicFramePr/>
                  <a:graphic xmlns:a="http://schemas.openxmlformats.org/drawingml/2006/main">
                    <a:graphicData uri="http://schemas.openxmlformats.org/drawingml/2006/picture">
                      <pic:pic xmlns:pic="http://schemas.openxmlformats.org/drawingml/2006/picture">
                        <pic:nvPicPr>
                          <pic:cNvPr id="51" name="AutoShape_515_SpCnt_27"/>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65" name="AutoShape_515_SpCnt_28"/>
                  <wp:cNvGraphicFramePr/>
                  <a:graphic xmlns:a="http://schemas.openxmlformats.org/drawingml/2006/main">
                    <a:graphicData uri="http://schemas.openxmlformats.org/drawingml/2006/picture">
                      <pic:pic xmlns:pic="http://schemas.openxmlformats.org/drawingml/2006/picture">
                        <pic:nvPicPr>
                          <pic:cNvPr id="65" name="AutoShape_515_SpCnt_28"/>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39" name="AutoShape_515_SpCnt_29"/>
                  <wp:cNvGraphicFramePr/>
                  <a:graphic xmlns:a="http://schemas.openxmlformats.org/drawingml/2006/main">
                    <a:graphicData uri="http://schemas.openxmlformats.org/drawingml/2006/picture">
                      <pic:pic xmlns:pic="http://schemas.openxmlformats.org/drawingml/2006/picture">
                        <pic:nvPicPr>
                          <pic:cNvPr id="39" name="AutoShape_515_SpCnt_29"/>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47" name="AutoShape_515_SpCnt_30"/>
                  <wp:cNvGraphicFramePr/>
                  <a:graphic xmlns:a="http://schemas.openxmlformats.org/drawingml/2006/main">
                    <a:graphicData uri="http://schemas.openxmlformats.org/drawingml/2006/picture">
                      <pic:pic xmlns:pic="http://schemas.openxmlformats.org/drawingml/2006/picture">
                        <pic:nvPicPr>
                          <pic:cNvPr id="47" name="AutoShape_515_SpCnt_30"/>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61" name="AutoShape_515_SpCnt_31"/>
                  <wp:cNvGraphicFramePr/>
                  <a:graphic xmlns:a="http://schemas.openxmlformats.org/drawingml/2006/main">
                    <a:graphicData uri="http://schemas.openxmlformats.org/drawingml/2006/picture">
                      <pic:pic xmlns:pic="http://schemas.openxmlformats.org/drawingml/2006/picture">
                        <pic:nvPicPr>
                          <pic:cNvPr id="61" name="AutoShape_515_SpCnt_31"/>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48" name="AutoShape_515_SpCnt_32"/>
                  <wp:cNvGraphicFramePr/>
                  <a:graphic xmlns:a="http://schemas.openxmlformats.org/drawingml/2006/main">
                    <a:graphicData uri="http://schemas.openxmlformats.org/drawingml/2006/picture">
                      <pic:pic xmlns:pic="http://schemas.openxmlformats.org/drawingml/2006/picture">
                        <pic:nvPicPr>
                          <pic:cNvPr id="48" name="AutoShape_515_SpCnt_32"/>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40" name="AutoShape_515_SpCnt_33"/>
                  <wp:cNvGraphicFramePr/>
                  <a:graphic xmlns:a="http://schemas.openxmlformats.org/drawingml/2006/main">
                    <a:graphicData uri="http://schemas.openxmlformats.org/drawingml/2006/picture">
                      <pic:pic xmlns:pic="http://schemas.openxmlformats.org/drawingml/2006/picture">
                        <pic:nvPicPr>
                          <pic:cNvPr id="40" name="AutoShape_515_SpCnt_33"/>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36" name="AutoShape_515_SpCnt_34"/>
                  <wp:cNvGraphicFramePr/>
                  <a:graphic xmlns:a="http://schemas.openxmlformats.org/drawingml/2006/main">
                    <a:graphicData uri="http://schemas.openxmlformats.org/drawingml/2006/picture">
                      <pic:pic xmlns:pic="http://schemas.openxmlformats.org/drawingml/2006/picture">
                        <pic:nvPicPr>
                          <pic:cNvPr id="36" name="AutoShape_515_SpCnt_34"/>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44" name="AutoShape_515_SpCnt_35"/>
                  <wp:cNvGraphicFramePr/>
                  <a:graphic xmlns:a="http://schemas.openxmlformats.org/drawingml/2006/main">
                    <a:graphicData uri="http://schemas.openxmlformats.org/drawingml/2006/picture">
                      <pic:pic xmlns:pic="http://schemas.openxmlformats.org/drawingml/2006/picture">
                        <pic:nvPicPr>
                          <pic:cNvPr id="44" name="AutoShape_515_SpCnt_35"/>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62" name="AutoShape_515_SpCnt_36"/>
                  <wp:cNvGraphicFramePr/>
                  <a:graphic xmlns:a="http://schemas.openxmlformats.org/drawingml/2006/main">
                    <a:graphicData uri="http://schemas.openxmlformats.org/drawingml/2006/picture">
                      <pic:pic xmlns:pic="http://schemas.openxmlformats.org/drawingml/2006/picture">
                        <pic:nvPicPr>
                          <pic:cNvPr id="62" name="AutoShape_515_SpCnt_36"/>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0" cy="302260"/>
                  <wp:effectExtent l="0" t="0" r="0" b="0"/>
                  <wp:wrapNone/>
                  <wp:docPr id="52" name="AutoShape_515_SpCnt_37"/>
                  <wp:cNvGraphicFramePr/>
                  <a:graphic xmlns:a="http://schemas.openxmlformats.org/drawingml/2006/main">
                    <a:graphicData uri="http://schemas.openxmlformats.org/drawingml/2006/picture">
                      <pic:pic xmlns:pic="http://schemas.openxmlformats.org/drawingml/2006/picture">
                        <pic:nvPicPr>
                          <pic:cNvPr id="52" name="AutoShape_515_SpCnt_37"/>
                          <pic:cNvPicPr/>
                        </pic:nvPicPr>
                        <pic:blipFill>
                          <a:blip r:embed="rId4"/>
                          <a:stretch>
                            <a:fillRect/>
                          </a:stretch>
                        </pic:blipFill>
                        <pic:spPr>
                          <a:xfrm>
                            <a:off x="0" y="0"/>
                            <a:ext cx="330200" cy="3022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60" name="AutoShape_515_SpCnt_38"/>
                  <wp:cNvGraphicFramePr/>
                  <a:graphic xmlns:a="http://schemas.openxmlformats.org/drawingml/2006/main">
                    <a:graphicData uri="http://schemas.openxmlformats.org/drawingml/2006/picture">
                      <pic:pic xmlns:pic="http://schemas.openxmlformats.org/drawingml/2006/picture">
                        <pic:nvPicPr>
                          <pic:cNvPr id="60" name="AutoShape_515_SpCnt_38"/>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66" name="AutoShape_515_SpCnt_39"/>
                  <wp:cNvGraphicFramePr/>
                  <a:graphic xmlns:a="http://schemas.openxmlformats.org/drawingml/2006/main">
                    <a:graphicData uri="http://schemas.openxmlformats.org/drawingml/2006/picture">
                      <pic:pic xmlns:pic="http://schemas.openxmlformats.org/drawingml/2006/picture">
                        <pic:nvPicPr>
                          <pic:cNvPr id="66" name="AutoShape_515_SpCnt_39"/>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53" name="AutoShape_515_SpCnt_40"/>
                  <wp:cNvGraphicFramePr/>
                  <a:graphic xmlns:a="http://schemas.openxmlformats.org/drawingml/2006/main">
                    <a:graphicData uri="http://schemas.openxmlformats.org/drawingml/2006/picture">
                      <pic:pic xmlns:pic="http://schemas.openxmlformats.org/drawingml/2006/picture">
                        <pic:nvPicPr>
                          <pic:cNvPr id="53" name="AutoShape_515_SpCnt_40"/>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37" name="AutoShape_515_SpCnt_41"/>
                  <wp:cNvGraphicFramePr/>
                  <a:graphic xmlns:a="http://schemas.openxmlformats.org/drawingml/2006/main">
                    <a:graphicData uri="http://schemas.openxmlformats.org/drawingml/2006/picture">
                      <pic:pic xmlns:pic="http://schemas.openxmlformats.org/drawingml/2006/picture">
                        <pic:nvPicPr>
                          <pic:cNvPr id="37" name="AutoShape_515_SpCnt_41"/>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54" name="AutoShape_515_SpCnt_42"/>
                  <wp:cNvGraphicFramePr/>
                  <a:graphic xmlns:a="http://schemas.openxmlformats.org/drawingml/2006/main">
                    <a:graphicData uri="http://schemas.openxmlformats.org/drawingml/2006/picture">
                      <pic:pic xmlns:pic="http://schemas.openxmlformats.org/drawingml/2006/picture">
                        <pic:nvPicPr>
                          <pic:cNvPr id="54" name="AutoShape_515_SpCnt_42"/>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49" name="AutoShape_515_SpCnt_43"/>
                  <wp:cNvGraphicFramePr/>
                  <a:graphic xmlns:a="http://schemas.openxmlformats.org/drawingml/2006/main">
                    <a:graphicData uri="http://schemas.openxmlformats.org/drawingml/2006/picture">
                      <pic:pic xmlns:pic="http://schemas.openxmlformats.org/drawingml/2006/picture">
                        <pic:nvPicPr>
                          <pic:cNvPr id="49" name="AutoShape_515_SpCnt_43"/>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67" name="AutoShape_515_SpCnt_44"/>
                  <wp:cNvGraphicFramePr/>
                  <a:graphic xmlns:a="http://schemas.openxmlformats.org/drawingml/2006/main">
                    <a:graphicData uri="http://schemas.openxmlformats.org/drawingml/2006/picture">
                      <pic:pic xmlns:pic="http://schemas.openxmlformats.org/drawingml/2006/picture">
                        <pic:nvPicPr>
                          <pic:cNvPr id="67" name="AutoShape_515_SpCnt_44"/>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50" name="AutoShape_515_SpCnt_45"/>
                  <wp:cNvGraphicFramePr/>
                  <a:graphic xmlns:a="http://schemas.openxmlformats.org/drawingml/2006/main">
                    <a:graphicData uri="http://schemas.openxmlformats.org/drawingml/2006/picture">
                      <pic:pic xmlns:pic="http://schemas.openxmlformats.org/drawingml/2006/picture">
                        <pic:nvPicPr>
                          <pic:cNvPr id="50" name="AutoShape_515_SpCnt_45"/>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55" name="AutoShape_515_SpCnt_46"/>
                  <wp:cNvGraphicFramePr/>
                  <a:graphic xmlns:a="http://schemas.openxmlformats.org/drawingml/2006/main">
                    <a:graphicData uri="http://schemas.openxmlformats.org/drawingml/2006/picture">
                      <pic:pic xmlns:pic="http://schemas.openxmlformats.org/drawingml/2006/picture">
                        <pic:nvPicPr>
                          <pic:cNvPr id="55" name="AutoShape_515_SpCnt_46"/>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45" name="AutoShape_515_SpCnt_47"/>
                  <wp:cNvGraphicFramePr/>
                  <a:graphic xmlns:a="http://schemas.openxmlformats.org/drawingml/2006/main">
                    <a:graphicData uri="http://schemas.openxmlformats.org/drawingml/2006/picture">
                      <pic:pic xmlns:pic="http://schemas.openxmlformats.org/drawingml/2006/picture">
                        <pic:nvPicPr>
                          <pic:cNvPr id="45" name="AutoShape_515_SpCnt_47"/>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46" name="AutoShape_515_SpCnt_48"/>
                  <wp:cNvGraphicFramePr/>
                  <a:graphic xmlns:a="http://schemas.openxmlformats.org/drawingml/2006/main">
                    <a:graphicData uri="http://schemas.openxmlformats.org/drawingml/2006/picture">
                      <pic:pic xmlns:pic="http://schemas.openxmlformats.org/drawingml/2006/picture">
                        <pic:nvPicPr>
                          <pic:cNvPr id="46" name="AutoShape_515_SpCnt_48"/>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63" name="AutoShape_515_SpCnt_49"/>
                  <wp:cNvGraphicFramePr/>
                  <a:graphic xmlns:a="http://schemas.openxmlformats.org/drawingml/2006/main">
                    <a:graphicData uri="http://schemas.openxmlformats.org/drawingml/2006/picture">
                      <pic:pic xmlns:pic="http://schemas.openxmlformats.org/drawingml/2006/picture">
                        <pic:nvPicPr>
                          <pic:cNvPr id="63" name="AutoShape_515_SpCnt_49"/>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0" cy="302260"/>
                  <wp:effectExtent l="0" t="0" r="0" b="0"/>
                  <wp:wrapNone/>
                  <wp:docPr id="42" name="AutoShape_515_SpCnt_50"/>
                  <wp:cNvGraphicFramePr/>
                  <a:graphic xmlns:a="http://schemas.openxmlformats.org/drawingml/2006/main">
                    <a:graphicData uri="http://schemas.openxmlformats.org/drawingml/2006/picture">
                      <pic:pic xmlns:pic="http://schemas.openxmlformats.org/drawingml/2006/picture">
                        <pic:nvPicPr>
                          <pic:cNvPr id="42" name="AutoShape_515_SpCnt_50"/>
                          <pic:cNvPicPr/>
                        </pic:nvPicPr>
                        <pic:blipFill>
                          <a:blip r:embed="rId4"/>
                          <a:stretch>
                            <a:fillRect/>
                          </a:stretch>
                        </pic:blipFill>
                        <pic:spPr>
                          <a:xfrm>
                            <a:off x="0" y="0"/>
                            <a:ext cx="330200" cy="3022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56" name="AutoShape_515_SpCnt_51"/>
                  <wp:cNvGraphicFramePr/>
                  <a:graphic xmlns:a="http://schemas.openxmlformats.org/drawingml/2006/main">
                    <a:graphicData uri="http://schemas.openxmlformats.org/drawingml/2006/picture">
                      <pic:pic xmlns:pic="http://schemas.openxmlformats.org/drawingml/2006/picture">
                        <pic:nvPicPr>
                          <pic:cNvPr id="56" name="AutoShape_515_SpCnt_51"/>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41" name="AutoShape_515_SpCnt_52"/>
                  <wp:cNvGraphicFramePr/>
                  <a:graphic xmlns:a="http://schemas.openxmlformats.org/drawingml/2006/main">
                    <a:graphicData uri="http://schemas.openxmlformats.org/drawingml/2006/picture">
                      <pic:pic xmlns:pic="http://schemas.openxmlformats.org/drawingml/2006/picture">
                        <pic:nvPicPr>
                          <pic:cNvPr id="41" name="AutoShape_515_SpCnt_52"/>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57" name="AutoShape_515_SpCnt_53"/>
                  <wp:cNvGraphicFramePr/>
                  <a:graphic xmlns:a="http://schemas.openxmlformats.org/drawingml/2006/main">
                    <a:graphicData uri="http://schemas.openxmlformats.org/drawingml/2006/picture">
                      <pic:pic xmlns:pic="http://schemas.openxmlformats.org/drawingml/2006/picture">
                        <pic:nvPicPr>
                          <pic:cNvPr id="57" name="AutoShape_515_SpCnt_53"/>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58" name="AutoShape_515_SpCnt_54"/>
                  <wp:cNvGraphicFramePr/>
                  <a:graphic xmlns:a="http://schemas.openxmlformats.org/drawingml/2006/main">
                    <a:graphicData uri="http://schemas.openxmlformats.org/drawingml/2006/picture">
                      <pic:pic xmlns:pic="http://schemas.openxmlformats.org/drawingml/2006/picture">
                        <pic:nvPicPr>
                          <pic:cNvPr id="58" name="AutoShape_515_SpCnt_54"/>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59" name="AutoShape_515_SpCnt_55"/>
                  <wp:cNvGraphicFramePr/>
                  <a:graphic xmlns:a="http://schemas.openxmlformats.org/drawingml/2006/main">
                    <a:graphicData uri="http://schemas.openxmlformats.org/drawingml/2006/picture">
                      <pic:pic xmlns:pic="http://schemas.openxmlformats.org/drawingml/2006/picture">
                        <pic:nvPicPr>
                          <pic:cNvPr id="59" name="AutoShape_515_SpCnt_55"/>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68" name="AutoShape_515_SpCnt_56"/>
                  <wp:cNvGraphicFramePr/>
                  <a:graphic xmlns:a="http://schemas.openxmlformats.org/drawingml/2006/main">
                    <a:graphicData uri="http://schemas.openxmlformats.org/drawingml/2006/picture">
                      <pic:pic xmlns:pic="http://schemas.openxmlformats.org/drawingml/2006/picture">
                        <pic:nvPicPr>
                          <pic:cNvPr id="68" name="AutoShape_515_SpCnt_56"/>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72" name="AutoShape_515_SpCnt_57"/>
                  <wp:cNvGraphicFramePr/>
                  <a:graphic xmlns:a="http://schemas.openxmlformats.org/drawingml/2006/main">
                    <a:graphicData uri="http://schemas.openxmlformats.org/drawingml/2006/picture">
                      <pic:pic xmlns:pic="http://schemas.openxmlformats.org/drawingml/2006/picture">
                        <pic:nvPicPr>
                          <pic:cNvPr id="72" name="AutoShape_515_SpCnt_57"/>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75" name="AutoShape_515_SpCnt_58"/>
                  <wp:cNvGraphicFramePr/>
                  <a:graphic xmlns:a="http://schemas.openxmlformats.org/drawingml/2006/main">
                    <a:graphicData uri="http://schemas.openxmlformats.org/drawingml/2006/picture">
                      <pic:pic xmlns:pic="http://schemas.openxmlformats.org/drawingml/2006/picture">
                        <pic:nvPicPr>
                          <pic:cNvPr id="75" name="AutoShape_515_SpCnt_58"/>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1.面板自带≥7寸超大触控屏，能控制、显示音量、完成信号切换等功能；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2.不少于10路MIC输入，每路带独立+48V幻象供电；1组AUX辅助立体声输入接口，可接入其他音频信号（提供产品面板图片证明接口，盖厂家公章）；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1组远程视频会议VOS立体声输入、输出接口，带有AEC回声消除功能；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1组本地扩声SPK立体声输出接口，可接本地扩声系统；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1组录音REC立体声输出接口，可连接音频录制设备，如硬盘录像机、录播主机等；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不少于8进8出HDMI高清矩阵切换，支持高清1080P分辨率，8路输入，8路输出可任意设定路由，其中第8路HDMI信号输出带音频解码输出功能（提供产品面板图片证明接口，盖厂家公章）；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内置≥4*300W/8Ω、4*500W/4Ω数字功放（提供产品面板图片证明接口，盖厂家公章）；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1路RS-232控制接口，可连接中央控制系统；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 控制接口：RS-232/TCP-IP；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10.内置基于DSP算法自适应反馈抑制功能（AFC），自适应回声消除（AEC）、独特的无失真动态噪音消除功能（ANC），自动增益（AGC）等多种自动化功能；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11.自适应回声消除（AEC），在消除回音的同时而不影响本地的发言，真正的全双工效果；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12.噪音消除功能（ANC），无失真地过滤掉背景和系统电流噪音，提高信噪比和改善音质；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13.自动增益（AGC），自动识别语音信号，根据发言人的音量大小自动调整输出电平和频谱；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14.反馈抑制功能（AFC），无失真地消除自激啸叫声。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15.提供所投标产品生产厂家音视频管理中心处理软件著作权登记证书，复印件盖厂家公章；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16.提供国家知识产权局出具的第三方机构认证，证书应含有“音视频综合一体机”字样，复印件加盖厂家公章；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17.提供中国合格评定国家认可委员会（CNAS）认可的第三方机构出具的功能性检测报告复印件，报告检测结果须含参数证明，并加盖厂家公章；</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9525"/>
                  <wp:effectExtent l="0" t="0" r="0" b="0"/>
                  <wp:wrapNone/>
                  <wp:docPr id="69" name="Picture_4"/>
                  <wp:cNvGraphicFramePr/>
                  <a:graphic xmlns:a="http://schemas.openxmlformats.org/drawingml/2006/main">
                    <a:graphicData uri="http://schemas.openxmlformats.org/drawingml/2006/picture">
                      <pic:pic xmlns:pic="http://schemas.openxmlformats.org/drawingml/2006/picture">
                        <pic:nvPicPr>
                          <pic:cNvPr id="69" name="Picture_4"/>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9525"/>
                  <wp:effectExtent l="0" t="0" r="0" b="0"/>
                  <wp:wrapNone/>
                  <wp:docPr id="73" name="Picture_3"/>
                  <wp:cNvGraphicFramePr/>
                  <a:graphic xmlns:a="http://schemas.openxmlformats.org/drawingml/2006/main">
                    <a:graphicData uri="http://schemas.openxmlformats.org/drawingml/2006/picture">
                      <pic:pic xmlns:pic="http://schemas.openxmlformats.org/drawingml/2006/picture">
                        <pic:nvPicPr>
                          <pic:cNvPr id="73" name="Picture_3"/>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9525" cy="9525"/>
                  <wp:effectExtent l="0" t="0" r="0" b="0"/>
                  <wp:wrapNone/>
                  <wp:docPr id="70" name="Picture_5"/>
                  <wp:cNvGraphicFramePr/>
                  <a:graphic xmlns:a="http://schemas.openxmlformats.org/drawingml/2006/main">
                    <a:graphicData uri="http://schemas.openxmlformats.org/drawingml/2006/picture">
                      <pic:pic xmlns:pic="http://schemas.openxmlformats.org/drawingml/2006/picture">
                        <pic:nvPicPr>
                          <pic:cNvPr id="70" name="Picture_5"/>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9525" cy="9525"/>
                  <wp:effectExtent l="0" t="0" r="0" b="0"/>
                  <wp:wrapNone/>
                  <wp:docPr id="71" name="Picture_6"/>
                  <wp:cNvGraphicFramePr/>
                  <a:graphic xmlns:a="http://schemas.openxmlformats.org/drawingml/2006/main">
                    <a:graphicData uri="http://schemas.openxmlformats.org/drawingml/2006/picture">
                      <pic:pic xmlns:pic="http://schemas.openxmlformats.org/drawingml/2006/picture">
                        <pic:nvPicPr>
                          <pic:cNvPr id="71" name="Picture_6"/>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57150</wp:posOffset>
                  </wp:positionH>
                  <wp:positionV relativeFrom="paragraph">
                    <wp:posOffset>0</wp:posOffset>
                  </wp:positionV>
                  <wp:extent cx="9525" cy="9525"/>
                  <wp:effectExtent l="0" t="0" r="0" b="0"/>
                  <wp:wrapNone/>
                  <wp:docPr id="77" name="Picture_7"/>
                  <wp:cNvGraphicFramePr/>
                  <a:graphic xmlns:a="http://schemas.openxmlformats.org/drawingml/2006/main">
                    <a:graphicData uri="http://schemas.openxmlformats.org/drawingml/2006/picture">
                      <pic:pic xmlns:pic="http://schemas.openxmlformats.org/drawingml/2006/picture">
                        <pic:nvPicPr>
                          <pic:cNvPr id="77" name="Picture_7"/>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9525" cy="9525"/>
                  <wp:effectExtent l="0" t="0" r="0" b="0"/>
                  <wp:wrapNone/>
                  <wp:docPr id="76" name="Picture_8"/>
                  <wp:cNvGraphicFramePr/>
                  <a:graphic xmlns:a="http://schemas.openxmlformats.org/drawingml/2006/main">
                    <a:graphicData uri="http://schemas.openxmlformats.org/drawingml/2006/picture">
                      <pic:pic xmlns:pic="http://schemas.openxmlformats.org/drawingml/2006/picture">
                        <pic:nvPicPr>
                          <pic:cNvPr id="76" name="Picture_8"/>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95250</wp:posOffset>
                  </wp:positionH>
                  <wp:positionV relativeFrom="paragraph">
                    <wp:posOffset>0</wp:posOffset>
                  </wp:positionV>
                  <wp:extent cx="9525" cy="9525"/>
                  <wp:effectExtent l="0" t="0" r="0" b="0"/>
                  <wp:wrapNone/>
                  <wp:docPr id="78" name="Picture_9"/>
                  <wp:cNvGraphicFramePr/>
                  <a:graphic xmlns:a="http://schemas.openxmlformats.org/drawingml/2006/main">
                    <a:graphicData uri="http://schemas.openxmlformats.org/drawingml/2006/picture">
                      <pic:pic xmlns:pic="http://schemas.openxmlformats.org/drawingml/2006/picture">
                        <pic:nvPicPr>
                          <pic:cNvPr id="78" name="Picture_9"/>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9525" cy="9525"/>
                  <wp:effectExtent l="0" t="0" r="0" b="0"/>
                  <wp:wrapNone/>
                  <wp:docPr id="79" name="Picture_10"/>
                  <wp:cNvGraphicFramePr/>
                  <a:graphic xmlns:a="http://schemas.openxmlformats.org/drawingml/2006/main">
                    <a:graphicData uri="http://schemas.openxmlformats.org/drawingml/2006/picture">
                      <pic:pic xmlns:pic="http://schemas.openxmlformats.org/drawingml/2006/picture">
                        <pic:nvPicPr>
                          <pic:cNvPr id="79" name="Picture_10"/>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133350</wp:posOffset>
                  </wp:positionH>
                  <wp:positionV relativeFrom="paragraph">
                    <wp:posOffset>0</wp:posOffset>
                  </wp:positionV>
                  <wp:extent cx="9525" cy="9525"/>
                  <wp:effectExtent l="0" t="0" r="0" b="0"/>
                  <wp:wrapNone/>
                  <wp:docPr id="80" name="Picture_11"/>
                  <wp:cNvGraphicFramePr/>
                  <a:graphic xmlns:a="http://schemas.openxmlformats.org/drawingml/2006/main">
                    <a:graphicData uri="http://schemas.openxmlformats.org/drawingml/2006/picture">
                      <pic:pic xmlns:pic="http://schemas.openxmlformats.org/drawingml/2006/picture">
                        <pic:nvPicPr>
                          <pic:cNvPr id="80" name="Picture_11"/>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0</wp:posOffset>
                  </wp:positionV>
                  <wp:extent cx="9525" cy="9525"/>
                  <wp:effectExtent l="0" t="0" r="0" b="0"/>
                  <wp:wrapNone/>
                  <wp:docPr id="81" name="Picture_12"/>
                  <wp:cNvGraphicFramePr/>
                  <a:graphic xmlns:a="http://schemas.openxmlformats.org/drawingml/2006/main">
                    <a:graphicData uri="http://schemas.openxmlformats.org/drawingml/2006/picture">
                      <pic:pic xmlns:pic="http://schemas.openxmlformats.org/drawingml/2006/picture">
                        <pic:nvPicPr>
                          <pic:cNvPr id="81" name="Picture_12"/>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171450</wp:posOffset>
                  </wp:positionH>
                  <wp:positionV relativeFrom="paragraph">
                    <wp:posOffset>0</wp:posOffset>
                  </wp:positionV>
                  <wp:extent cx="9525" cy="9525"/>
                  <wp:effectExtent l="0" t="0" r="0" b="0"/>
                  <wp:wrapNone/>
                  <wp:docPr id="83" name="Picture_13"/>
                  <wp:cNvGraphicFramePr/>
                  <a:graphic xmlns:a="http://schemas.openxmlformats.org/drawingml/2006/main">
                    <a:graphicData uri="http://schemas.openxmlformats.org/drawingml/2006/picture">
                      <pic:pic xmlns:pic="http://schemas.openxmlformats.org/drawingml/2006/picture">
                        <pic:nvPicPr>
                          <pic:cNvPr id="83" name="Picture_13"/>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190500</wp:posOffset>
                  </wp:positionH>
                  <wp:positionV relativeFrom="paragraph">
                    <wp:posOffset>0</wp:posOffset>
                  </wp:positionV>
                  <wp:extent cx="9525" cy="9525"/>
                  <wp:effectExtent l="0" t="0" r="0" b="0"/>
                  <wp:wrapNone/>
                  <wp:docPr id="82" name="Picture_14"/>
                  <wp:cNvGraphicFramePr/>
                  <a:graphic xmlns:a="http://schemas.openxmlformats.org/drawingml/2006/main">
                    <a:graphicData uri="http://schemas.openxmlformats.org/drawingml/2006/picture">
                      <pic:pic xmlns:pic="http://schemas.openxmlformats.org/drawingml/2006/picture">
                        <pic:nvPicPr>
                          <pic:cNvPr id="82" name="Picture_14"/>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209550</wp:posOffset>
                  </wp:positionH>
                  <wp:positionV relativeFrom="paragraph">
                    <wp:posOffset>0</wp:posOffset>
                  </wp:positionV>
                  <wp:extent cx="9525" cy="9525"/>
                  <wp:effectExtent l="0" t="0" r="0" b="0"/>
                  <wp:wrapNone/>
                  <wp:docPr id="86" name="Picture_15"/>
                  <wp:cNvGraphicFramePr/>
                  <a:graphic xmlns:a="http://schemas.openxmlformats.org/drawingml/2006/main">
                    <a:graphicData uri="http://schemas.openxmlformats.org/drawingml/2006/picture">
                      <pic:pic xmlns:pic="http://schemas.openxmlformats.org/drawingml/2006/picture">
                        <pic:nvPicPr>
                          <pic:cNvPr id="86" name="Picture_15"/>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9525" cy="9525"/>
                  <wp:effectExtent l="0" t="0" r="0" b="0"/>
                  <wp:wrapNone/>
                  <wp:docPr id="87" name="Picture_16"/>
                  <wp:cNvGraphicFramePr/>
                  <a:graphic xmlns:a="http://schemas.openxmlformats.org/drawingml/2006/main">
                    <a:graphicData uri="http://schemas.openxmlformats.org/drawingml/2006/picture">
                      <pic:pic xmlns:pic="http://schemas.openxmlformats.org/drawingml/2006/picture">
                        <pic:nvPicPr>
                          <pic:cNvPr id="87" name="Picture_16"/>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247650</wp:posOffset>
                  </wp:positionH>
                  <wp:positionV relativeFrom="paragraph">
                    <wp:posOffset>0</wp:posOffset>
                  </wp:positionV>
                  <wp:extent cx="9525" cy="9525"/>
                  <wp:effectExtent l="0" t="0" r="0" b="0"/>
                  <wp:wrapNone/>
                  <wp:docPr id="98" name="Picture_17"/>
                  <wp:cNvGraphicFramePr/>
                  <a:graphic xmlns:a="http://schemas.openxmlformats.org/drawingml/2006/main">
                    <a:graphicData uri="http://schemas.openxmlformats.org/drawingml/2006/picture">
                      <pic:pic xmlns:pic="http://schemas.openxmlformats.org/drawingml/2006/picture">
                        <pic:nvPicPr>
                          <pic:cNvPr id="98" name="Picture_17"/>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9525" cy="9525"/>
                  <wp:effectExtent l="0" t="0" r="0" b="0"/>
                  <wp:wrapNone/>
                  <wp:docPr id="85" name="Picture_18"/>
                  <wp:cNvGraphicFramePr/>
                  <a:graphic xmlns:a="http://schemas.openxmlformats.org/drawingml/2006/main">
                    <a:graphicData uri="http://schemas.openxmlformats.org/drawingml/2006/picture">
                      <pic:pic xmlns:pic="http://schemas.openxmlformats.org/drawingml/2006/picture">
                        <pic:nvPicPr>
                          <pic:cNvPr id="85" name="Picture_18"/>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285750</wp:posOffset>
                  </wp:positionH>
                  <wp:positionV relativeFrom="paragraph">
                    <wp:posOffset>0</wp:posOffset>
                  </wp:positionV>
                  <wp:extent cx="9525" cy="9525"/>
                  <wp:effectExtent l="0" t="0" r="0" b="0"/>
                  <wp:wrapNone/>
                  <wp:docPr id="88" name="Picture_19"/>
                  <wp:cNvGraphicFramePr/>
                  <a:graphic xmlns:a="http://schemas.openxmlformats.org/drawingml/2006/main">
                    <a:graphicData uri="http://schemas.openxmlformats.org/drawingml/2006/picture">
                      <pic:pic xmlns:pic="http://schemas.openxmlformats.org/drawingml/2006/picture">
                        <pic:nvPicPr>
                          <pic:cNvPr id="88" name="Picture_19"/>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304800</wp:posOffset>
                  </wp:positionH>
                  <wp:positionV relativeFrom="paragraph">
                    <wp:posOffset>0</wp:posOffset>
                  </wp:positionV>
                  <wp:extent cx="9525" cy="9525"/>
                  <wp:effectExtent l="0" t="0" r="0" b="0"/>
                  <wp:wrapNone/>
                  <wp:docPr id="93" name="Picture_20"/>
                  <wp:cNvGraphicFramePr/>
                  <a:graphic xmlns:a="http://schemas.openxmlformats.org/drawingml/2006/main">
                    <a:graphicData uri="http://schemas.openxmlformats.org/drawingml/2006/picture">
                      <pic:pic xmlns:pic="http://schemas.openxmlformats.org/drawingml/2006/picture">
                        <pic:nvPicPr>
                          <pic:cNvPr id="93" name="Picture_20"/>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323850</wp:posOffset>
                  </wp:positionH>
                  <wp:positionV relativeFrom="paragraph">
                    <wp:posOffset>0</wp:posOffset>
                  </wp:positionV>
                  <wp:extent cx="9525" cy="9525"/>
                  <wp:effectExtent l="0" t="0" r="0" b="0"/>
                  <wp:wrapNone/>
                  <wp:docPr id="89" name="Picture_21"/>
                  <wp:cNvGraphicFramePr/>
                  <a:graphic xmlns:a="http://schemas.openxmlformats.org/drawingml/2006/main">
                    <a:graphicData uri="http://schemas.openxmlformats.org/drawingml/2006/picture">
                      <pic:pic xmlns:pic="http://schemas.openxmlformats.org/drawingml/2006/picture">
                        <pic:nvPicPr>
                          <pic:cNvPr id="89" name="Picture_21"/>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342900</wp:posOffset>
                  </wp:positionH>
                  <wp:positionV relativeFrom="paragraph">
                    <wp:posOffset>0</wp:posOffset>
                  </wp:positionV>
                  <wp:extent cx="9525" cy="9525"/>
                  <wp:effectExtent l="0" t="0" r="0" b="0"/>
                  <wp:wrapNone/>
                  <wp:docPr id="84" name="Picture_22"/>
                  <wp:cNvGraphicFramePr/>
                  <a:graphic xmlns:a="http://schemas.openxmlformats.org/drawingml/2006/main">
                    <a:graphicData uri="http://schemas.openxmlformats.org/drawingml/2006/picture">
                      <pic:pic xmlns:pic="http://schemas.openxmlformats.org/drawingml/2006/picture">
                        <pic:nvPicPr>
                          <pic:cNvPr id="84" name="Picture_22"/>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9525"/>
                  <wp:effectExtent l="0" t="0" r="0" b="0"/>
                  <wp:wrapNone/>
                  <wp:docPr id="99" name="Picture_23"/>
                  <wp:cNvGraphicFramePr/>
                  <a:graphic xmlns:a="http://schemas.openxmlformats.org/drawingml/2006/main">
                    <a:graphicData uri="http://schemas.openxmlformats.org/drawingml/2006/picture">
                      <pic:pic xmlns:pic="http://schemas.openxmlformats.org/drawingml/2006/picture">
                        <pic:nvPicPr>
                          <pic:cNvPr id="99" name="Picture_23"/>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9525" cy="9525"/>
                  <wp:effectExtent l="0" t="0" r="0" b="0"/>
                  <wp:wrapNone/>
                  <wp:docPr id="90" name="Picture_24"/>
                  <wp:cNvGraphicFramePr/>
                  <a:graphic xmlns:a="http://schemas.openxmlformats.org/drawingml/2006/main">
                    <a:graphicData uri="http://schemas.openxmlformats.org/drawingml/2006/picture">
                      <pic:pic xmlns:pic="http://schemas.openxmlformats.org/drawingml/2006/picture">
                        <pic:nvPicPr>
                          <pic:cNvPr id="90" name="Picture_24"/>
                          <pic:cNvPicPr/>
                        </pic:nvPicPr>
                        <pic:blipFill>
                          <a:blip r:embed="rId5"/>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iSonicavct（艾索）</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lang w:eastAsia="zh-CN"/>
                <w14:textFill>
                  <w14:solidFill>
                    <w14:schemeClr w14:val="tx1"/>
                  </w14:solidFill>
                </w14:textFill>
              </w:rPr>
              <w:t>DJG（科盟）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2"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功放</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1.CLASS-D数字电路，全铝合金面板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2.提供立体声、桥接、并联三种工作模式可选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3.前面板带有精确的音量旋钮控制，并具有保护、削峰、信号和电源指示灯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4.带延时启动系统，能有效防止开机浪涌，保护音箱设备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5.带智能导风系统，风机会随机内的温度自动升高而加速排热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6.带直流保护、过载保护、短路保护、过热保护、软启动、失真限幅输出等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7.立体声输出：≧2x600W/8Ω  ≧2x1050W/4Ω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8.桥接输出：≧1800W/8Ω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9.频率响应：20Hz～20KHz(±1dB)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10.输入灵敏度：0.775V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11.谐波失真：&lt;0.1% (1KHz,8Ω)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12.信噪比：≥100dB(A计权)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13.转换速率：28V/μS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14.输入阻抗：平衡20KΩ/不平衡10KΩ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15.阻尼系数：≥350(1KHz,8Ω)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16.通道隔离度：60dB@8Ω 1KHz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17.工作电源：AC 220V~50/60Hz</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iSonicavct（艾索）</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lang w:eastAsia="zh-CN"/>
                <w14:textFill>
                  <w14:solidFill>
                    <w14:schemeClr w14:val="tx1"/>
                  </w14:solidFill>
                </w14:textFill>
              </w:rPr>
              <w:t>DJG（科盟）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天线分配放大器</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1.天线分配放大器，用于增加U段无线话筒信号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2.UHF载波频率范围：470-960MHZ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3.分配输出电平(增益)：3.5dB典型值，从天线输入的2.0dB到5.0dB（输出端口1-4）；0.5dB典型值，从天线输入的-1.0dB到2.0dB（级联端口）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4.输入、输出天线接头类型：BNC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5.输出接头隔离度：大于25dB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6.三阶截取点（3OIP)：典型值24dBm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7.输入/输出交流线电压：100-240伏交流，50Hz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8.直流输出电压：4个接头12V/1100mA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9.阻抗：50Ω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10.整体尺寸：295.30mm×482.60mm×44.50mm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11.净重：3.32Kg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12.功率：20-80W</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iSonicavct（艾索）</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lang w:eastAsia="zh-CN"/>
                <w14:textFill>
                  <w14:solidFill>
                    <w14:schemeClr w14:val="tx1"/>
                  </w14:solidFill>
                </w14:textFill>
              </w:rPr>
              <w:t>DJG（科盟）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电源时序器</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91" name="AutoShape_515_SpCnt_60"/>
                  <wp:cNvGraphicFramePr/>
                  <a:graphic xmlns:a="http://schemas.openxmlformats.org/drawingml/2006/main">
                    <a:graphicData uri="http://schemas.openxmlformats.org/drawingml/2006/picture">
                      <pic:pic xmlns:pic="http://schemas.openxmlformats.org/drawingml/2006/picture">
                        <pic:nvPicPr>
                          <pic:cNvPr id="91" name="AutoShape_515_SpCnt_60"/>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100" name="AutoShape_515_SpCnt_61"/>
                  <wp:cNvGraphicFramePr/>
                  <a:graphic xmlns:a="http://schemas.openxmlformats.org/drawingml/2006/main">
                    <a:graphicData uri="http://schemas.openxmlformats.org/drawingml/2006/picture">
                      <pic:pic xmlns:pic="http://schemas.openxmlformats.org/drawingml/2006/picture">
                        <pic:nvPicPr>
                          <pic:cNvPr id="100" name="AutoShape_515_SpCnt_61"/>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92" name="AutoShape_515_SpCnt_62"/>
                  <wp:cNvGraphicFramePr/>
                  <a:graphic xmlns:a="http://schemas.openxmlformats.org/drawingml/2006/main">
                    <a:graphicData uri="http://schemas.openxmlformats.org/drawingml/2006/picture">
                      <pic:pic xmlns:pic="http://schemas.openxmlformats.org/drawingml/2006/picture">
                        <pic:nvPicPr>
                          <pic:cNvPr id="92" name="AutoShape_515_SpCnt_62"/>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0" cy="302260"/>
                  <wp:effectExtent l="0" t="0" r="0" b="0"/>
                  <wp:wrapNone/>
                  <wp:docPr id="94" name="AutoShape_515_SpCnt_63"/>
                  <wp:cNvGraphicFramePr/>
                  <a:graphic xmlns:a="http://schemas.openxmlformats.org/drawingml/2006/main">
                    <a:graphicData uri="http://schemas.openxmlformats.org/drawingml/2006/picture">
                      <pic:pic xmlns:pic="http://schemas.openxmlformats.org/drawingml/2006/picture">
                        <pic:nvPicPr>
                          <pic:cNvPr id="94" name="AutoShape_515_SpCnt_63"/>
                          <pic:cNvPicPr/>
                        </pic:nvPicPr>
                        <pic:blipFill>
                          <a:blip r:embed="rId4"/>
                          <a:stretch>
                            <a:fillRect/>
                          </a:stretch>
                        </pic:blipFill>
                        <pic:spPr>
                          <a:xfrm>
                            <a:off x="0" y="0"/>
                            <a:ext cx="330200" cy="3022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95" name="AutoShape_515_SpCnt_64"/>
                  <wp:cNvGraphicFramePr/>
                  <a:graphic xmlns:a="http://schemas.openxmlformats.org/drawingml/2006/main">
                    <a:graphicData uri="http://schemas.openxmlformats.org/drawingml/2006/picture">
                      <pic:pic xmlns:pic="http://schemas.openxmlformats.org/drawingml/2006/picture">
                        <pic:nvPicPr>
                          <pic:cNvPr id="95" name="AutoShape_515_SpCnt_64"/>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96" name="AutoShape_515_SpCnt_65"/>
                  <wp:cNvGraphicFramePr/>
                  <a:graphic xmlns:a="http://schemas.openxmlformats.org/drawingml/2006/main">
                    <a:graphicData uri="http://schemas.openxmlformats.org/drawingml/2006/picture">
                      <pic:pic xmlns:pic="http://schemas.openxmlformats.org/drawingml/2006/picture">
                        <pic:nvPicPr>
                          <pic:cNvPr id="96" name="AutoShape_515_SpCnt_65"/>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97" name="AutoShape_515_SpCnt_66"/>
                  <wp:cNvGraphicFramePr/>
                  <a:graphic xmlns:a="http://schemas.openxmlformats.org/drawingml/2006/main">
                    <a:graphicData uri="http://schemas.openxmlformats.org/drawingml/2006/picture">
                      <pic:pic xmlns:pic="http://schemas.openxmlformats.org/drawingml/2006/picture">
                        <pic:nvPicPr>
                          <pic:cNvPr id="97" name="AutoShape_515_SpCnt_66"/>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6" name="AutoShape_515_SpCnt_67"/>
                  <wp:cNvGraphicFramePr/>
                  <a:graphic xmlns:a="http://schemas.openxmlformats.org/drawingml/2006/main">
                    <a:graphicData uri="http://schemas.openxmlformats.org/drawingml/2006/picture">
                      <pic:pic xmlns:pic="http://schemas.openxmlformats.org/drawingml/2006/picture">
                        <pic:nvPicPr>
                          <pic:cNvPr id="6" name="AutoShape_515_SpCnt_67"/>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8" name="AutoShape_515_SpCnt_68"/>
                  <wp:cNvGraphicFramePr/>
                  <a:graphic xmlns:a="http://schemas.openxmlformats.org/drawingml/2006/main">
                    <a:graphicData uri="http://schemas.openxmlformats.org/drawingml/2006/picture">
                      <pic:pic xmlns:pic="http://schemas.openxmlformats.org/drawingml/2006/picture">
                        <pic:nvPicPr>
                          <pic:cNvPr id="8" name="AutoShape_515_SpCnt_68"/>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9" name="AutoShape_515_SpCnt_69"/>
                  <wp:cNvGraphicFramePr/>
                  <a:graphic xmlns:a="http://schemas.openxmlformats.org/drawingml/2006/main">
                    <a:graphicData uri="http://schemas.openxmlformats.org/drawingml/2006/picture">
                      <pic:pic xmlns:pic="http://schemas.openxmlformats.org/drawingml/2006/picture">
                        <pic:nvPicPr>
                          <pic:cNvPr id="9" name="AutoShape_515_SpCnt_69"/>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0" name="AutoShape_515_SpCnt_70"/>
                  <wp:cNvGraphicFramePr/>
                  <a:graphic xmlns:a="http://schemas.openxmlformats.org/drawingml/2006/main">
                    <a:graphicData uri="http://schemas.openxmlformats.org/drawingml/2006/picture">
                      <pic:pic xmlns:pic="http://schemas.openxmlformats.org/drawingml/2006/picture">
                        <pic:nvPicPr>
                          <pic:cNvPr id="10" name="AutoShape_515_SpCnt_70"/>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5" name="AutoShape_515_SpCnt_71"/>
                  <wp:cNvGraphicFramePr/>
                  <a:graphic xmlns:a="http://schemas.openxmlformats.org/drawingml/2006/main">
                    <a:graphicData uri="http://schemas.openxmlformats.org/drawingml/2006/picture">
                      <pic:pic xmlns:pic="http://schemas.openxmlformats.org/drawingml/2006/picture">
                        <pic:nvPicPr>
                          <pic:cNvPr id="5" name="AutoShape_515_SpCnt_71"/>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7" name="AutoShape_515_SpCnt_72"/>
                  <wp:cNvGraphicFramePr/>
                  <a:graphic xmlns:a="http://schemas.openxmlformats.org/drawingml/2006/main">
                    <a:graphicData uri="http://schemas.openxmlformats.org/drawingml/2006/picture">
                      <pic:pic xmlns:pic="http://schemas.openxmlformats.org/drawingml/2006/picture">
                        <pic:nvPicPr>
                          <pic:cNvPr id="7" name="AutoShape_515_SpCnt_72"/>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2" name="AutoShape_515_SpCnt_73"/>
                  <wp:cNvGraphicFramePr/>
                  <a:graphic xmlns:a="http://schemas.openxmlformats.org/drawingml/2006/main">
                    <a:graphicData uri="http://schemas.openxmlformats.org/drawingml/2006/picture">
                      <pic:pic xmlns:pic="http://schemas.openxmlformats.org/drawingml/2006/picture">
                        <pic:nvPicPr>
                          <pic:cNvPr id="2" name="AutoShape_515_SpCnt_73"/>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 name="AutoShape_515_SpCnt_74"/>
                  <wp:cNvGraphicFramePr/>
                  <a:graphic xmlns:a="http://schemas.openxmlformats.org/drawingml/2006/main">
                    <a:graphicData uri="http://schemas.openxmlformats.org/drawingml/2006/picture">
                      <pic:pic xmlns:pic="http://schemas.openxmlformats.org/drawingml/2006/picture">
                        <pic:nvPicPr>
                          <pic:cNvPr id="1" name="AutoShape_515_SpCnt_74"/>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32" name="AutoShape_515_SpCnt_75"/>
                  <wp:cNvGraphicFramePr/>
                  <a:graphic xmlns:a="http://schemas.openxmlformats.org/drawingml/2006/main">
                    <a:graphicData uri="http://schemas.openxmlformats.org/drawingml/2006/picture">
                      <pic:pic xmlns:pic="http://schemas.openxmlformats.org/drawingml/2006/picture">
                        <pic:nvPicPr>
                          <pic:cNvPr id="32" name="AutoShape_515_SpCnt_75"/>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4" name="AutoShape_515_SpCnt_76"/>
                  <wp:cNvGraphicFramePr/>
                  <a:graphic xmlns:a="http://schemas.openxmlformats.org/drawingml/2006/main">
                    <a:graphicData uri="http://schemas.openxmlformats.org/drawingml/2006/picture">
                      <pic:pic xmlns:pic="http://schemas.openxmlformats.org/drawingml/2006/picture">
                        <pic:nvPicPr>
                          <pic:cNvPr id="4" name="AutoShape_515_SpCnt_76"/>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3" name="AutoShape_515_SpCnt_77"/>
                  <wp:cNvGraphicFramePr/>
                  <a:graphic xmlns:a="http://schemas.openxmlformats.org/drawingml/2006/main">
                    <a:graphicData uri="http://schemas.openxmlformats.org/drawingml/2006/picture">
                      <pic:pic xmlns:pic="http://schemas.openxmlformats.org/drawingml/2006/picture">
                        <pic:nvPicPr>
                          <pic:cNvPr id="3" name="AutoShape_515_SpCnt_77"/>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03" name="AutoShape_515_SpCnt_78"/>
                  <wp:cNvGraphicFramePr/>
                  <a:graphic xmlns:a="http://schemas.openxmlformats.org/drawingml/2006/main">
                    <a:graphicData uri="http://schemas.openxmlformats.org/drawingml/2006/picture">
                      <pic:pic xmlns:pic="http://schemas.openxmlformats.org/drawingml/2006/picture">
                        <pic:nvPicPr>
                          <pic:cNvPr id="103" name="AutoShape_515_SpCnt_78"/>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0" cy="302260"/>
                  <wp:effectExtent l="0" t="0" r="0" b="0"/>
                  <wp:wrapNone/>
                  <wp:docPr id="115" name="AutoShape_515_SpCnt_79"/>
                  <wp:cNvGraphicFramePr/>
                  <a:graphic xmlns:a="http://schemas.openxmlformats.org/drawingml/2006/main">
                    <a:graphicData uri="http://schemas.openxmlformats.org/drawingml/2006/picture">
                      <pic:pic xmlns:pic="http://schemas.openxmlformats.org/drawingml/2006/picture">
                        <pic:nvPicPr>
                          <pic:cNvPr id="115" name="AutoShape_515_SpCnt_79"/>
                          <pic:cNvPicPr/>
                        </pic:nvPicPr>
                        <pic:blipFill>
                          <a:blip r:embed="rId4"/>
                          <a:stretch>
                            <a:fillRect/>
                          </a:stretch>
                        </pic:blipFill>
                        <pic:spPr>
                          <a:xfrm>
                            <a:off x="0" y="0"/>
                            <a:ext cx="330200" cy="3022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12" name="AutoShape_515_SpCnt_80"/>
                  <wp:cNvGraphicFramePr/>
                  <a:graphic xmlns:a="http://schemas.openxmlformats.org/drawingml/2006/main">
                    <a:graphicData uri="http://schemas.openxmlformats.org/drawingml/2006/picture">
                      <pic:pic xmlns:pic="http://schemas.openxmlformats.org/drawingml/2006/picture">
                        <pic:nvPicPr>
                          <pic:cNvPr id="112" name="AutoShape_515_SpCnt_80"/>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07" name="AutoShape_515_SpCnt_81"/>
                  <wp:cNvGraphicFramePr/>
                  <a:graphic xmlns:a="http://schemas.openxmlformats.org/drawingml/2006/main">
                    <a:graphicData uri="http://schemas.openxmlformats.org/drawingml/2006/picture">
                      <pic:pic xmlns:pic="http://schemas.openxmlformats.org/drawingml/2006/picture">
                        <pic:nvPicPr>
                          <pic:cNvPr id="107" name="AutoShape_515_SpCnt_81"/>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131" name="AutoShape_515_SpCnt_82"/>
                  <wp:cNvGraphicFramePr/>
                  <a:graphic xmlns:a="http://schemas.openxmlformats.org/drawingml/2006/main">
                    <a:graphicData uri="http://schemas.openxmlformats.org/drawingml/2006/picture">
                      <pic:pic xmlns:pic="http://schemas.openxmlformats.org/drawingml/2006/picture">
                        <pic:nvPicPr>
                          <pic:cNvPr id="131" name="AutoShape_515_SpCnt_82"/>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0" cy="302260"/>
                  <wp:effectExtent l="0" t="0" r="0" b="0"/>
                  <wp:wrapNone/>
                  <wp:docPr id="118" name="AutoShape_515_SpCnt_83"/>
                  <wp:cNvGraphicFramePr/>
                  <a:graphic xmlns:a="http://schemas.openxmlformats.org/drawingml/2006/main">
                    <a:graphicData uri="http://schemas.openxmlformats.org/drawingml/2006/picture">
                      <pic:pic xmlns:pic="http://schemas.openxmlformats.org/drawingml/2006/picture">
                        <pic:nvPicPr>
                          <pic:cNvPr id="118" name="AutoShape_515_SpCnt_83"/>
                          <pic:cNvPicPr/>
                        </pic:nvPicPr>
                        <pic:blipFill>
                          <a:blip r:embed="rId4"/>
                          <a:stretch>
                            <a:fillRect/>
                          </a:stretch>
                        </pic:blipFill>
                        <pic:spPr>
                          <a:xfrm>
                            <a:off x="0" y="0"/>
                            <a:ext cx="330200" cy="3022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08" name="AutoShape_515_SpCnt_84"/>
                  <wp:cNvGraphicFramePr/>
                  <a:graphic xmlns:a="http://schemas.openxmlformats.org/drawingml/2006/main">
                    <a:graphicData uri="http://schemas.openxmlformats.org/drawingml/2006/picture">
                      <pic:pic xmlns:pic="http://schemas.openxmlformats.org/drawingml/2006/picture">
                        <pic:nvPicPr>
                          <pic:cNvPr id="108" name="AutoShape_515_SpCnt_84"/>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113" name="AutoShape_515_SpCnt_85"/>
                  <wp:cNvGraphicFramePr/>
                  <a:graphic xmlns:a="http://schemas.openxmlformats.org/drawingml/2006/main">
                    <a:graphicData uri="http://schemas.openxmlformats.org/drawingml/2006/picture">
                      <pic:pic xmlns:pic="http://schemas.openxmlformats.org/drawingml/2006/picture">
                        <pic:nvPicPr>
                          <pic:cNvPr id="113" name="AutoShape_515_SpCnt_85"/>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104" name="AutoShape_515_SpCnt_86"/>
                  <wp:cNvGraphicFramePr/>
                  <a:graphic xmlns:a="http://schemas.openxmlformats.org/drawingml/2006/main">
                    <a:graphicData uri="http://schemas.openxmlformats.org/drawingml/2006/picture">
                      <pic:pic xmlns:pic="http://schemas.openxmlformats.org/drawingml/2006/picture">
                        <pic:nvPicPr>
                          <pic:cNvPr id="104" name="AutoShape_515_SpCnt_86"/>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11" name="AutoShape_515_SpCnt_87"/>
                  <wp:cNvGraphicFramePr/>
                  <a:graphic xmlns:a="http://schemas.openxmlformats.org/drawingml/2006/main">
                    <a:graphicData uri="http://schemas.openxmlformats.org/drawingml/2006/picture">
                      <pic:pic xmlns:pic="http://schemas.openxmlformats.org/drawingml/2006/picture">
                        <pic:nvPicPr>
                          <pic:cNvPr id="111" name="AutoShape_515_SpCnt_87"/>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110" name="AutoShape_515_SpCnt_88"/>
                  <wp:cNvGraphicFramePr/>
                  <a:graphic xmlns:a="http://schemas.openxmlformats.org/drawingml/2006/main">
                    <a:graphicData uri="http://schemas.openxmlformats.org/drawingml/2006/picture">
                      <pic:pic xmlns:pic="http://schemas.openxmlformats.org/drawingml/2006/picture">
                        <pic:nvPicPr>
                          <pic:cNvPr id="110" name="AutoShape_515_SpCnt_88"/>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106" name="AutoShape_515_SpCnt_89"/>
                  <wp:cNvGraphicFramePr/>
                  <a:graphic xmlns:a="http://schemas.openxmlformats.org/drawingml/2006/main">
                    <a:graphicData uri="http://schemas.openxmlformats.org/drawingml/2006/picture">
                      <pic:pic xmlns:pic="http://schemas.openxmlformats.org/drawingml/2006/picture">
                        <pic:nvPicPr>
                          <pic:cNvPr id="106" name="AutoShape_515_SpCnt_89"/>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16" name="AutoShape_515_SpCnt_90"/>
                  <wp:cNvGraphicFramePr/>
                  <a:graphic xmlns:a="http://schemas.openxmlformats.org/drawingml/2006/main">
                    <a:graphicData uri="http://schemas.openxmlformats.org/drawingml/2006/picture">
                      <pic:pic xmlns:pic="http://schemas.openxmlformats.org/drawingml/2006/picture">
                        <pic:nvPicPr>
                          <pic:cNvPr id="116" name="AutoShape_515_SpCnt_90"/>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109" name="AutoShape_515_SpCnt_91"/>
                  <wp:cNvGraphicFramePr/>
                  <a:graphic xmlns:a="http://schemas.openxmlformats.org/drawingml/2006/main">
                    <a:graphicData uri="http://schemas.openxmlformats.org/drawingml/2006/picture">
                      <pic:pic xmlns:pic="http://schemas.openxmlformats.org/drawingml/2006/picture">
                        <pic:nvPicPr>
                          <pic:cNvPr id="109" name="AutoShape_515_SpCnt_91"/>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128" name="AutoShape_515_SpCnt_92"/>
                  <wp:cNvGraphicFramePr/>
                  <a:graphic xmlns:a="http://schemas.openxmlformats.org/drawingml/2006/main">
                    <a:graphicData uri="http://schemas.openxmlformats.org/drawingml/2006/picture">
                      <pic:pic xmlns:pic="http://schemas.openxmlformats.org/drawingml/2006/picture">
                        <pic:nvPicPr>
                          <pic:cNvPr id="128" name="AutoShape_515_SpCnt_92"/>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14" name="AutoShape_515_SpCnt_93"/>
                  <wp:cNvGraphicFramePr/>
                  <a:graphic xmlns:a="http://schemas.openxmlformats.org/drawingml/2006/main">
                    <a:graphicData uri="http://schemas.openxmlformats.org/drawingml/2006/picture">
                      <pic:pic xmlns:pic="http://schemas.openxmlformats.org/drawingml/2006/picture">
                        <pic:nvPicPr>
                          <pic:cNvPr id="114" name="AutoShape_515_SpCnt_93"/>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19" name="AutoShape_515_SpCnt_94"/>
                  <wp:cNvGraphicFramePr/>
                  <a:graphic xmlns:a="http://schemas.openxmlformats.org/drawingml/2006/main">
                    <a:graphicData uri="http://schemas.openxmlformats.org/drawingml/2006/picture">
                      <pic:pic xmlns:pic="http://schemas.openxmlformats.org/drawingml/2006/picture">
                        <pic:nvPicPr>
                          <pic:cNvPr id="119" name="AutoShape_515_SpCnt_94"/>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120" name="AutoShape_515_SpCnt_95"/>
                  <wp:cNvGraphicFramePr/>
                  <a:graphic xmlns:a="http://schemas.openxmlformats.org/drawingml/2006/main">
                    <a:graphicData uri="http://schemas.openxmlformats.org/drawingml/2006/picture">
                      <pic:pic xmlns:pic="http://schemas.openxmlformats.org/drawingml/2006/picture">
                        <pic:nvPicPr>
                          <pic:cNvPr id="120" name="AutoShape_515_SpCnt_95"/>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29" name="AutoShape_515_SpCnt_96"/>
                  <wp:cNvGraphicFramePr/>
                  <a:graphic xmlns:a="http://schemas.openxmlformats.org/drawingml/2006/main">
                    <a:graphicData uri="http://schemas.openxmlformats.org/drawingml/2006/picture">
                      <pic:pic xmlns:pic="http://schemas.openxmlformats.org/drawingml/2006/picture">
                        <pic:nvPicPr>
                          <pic:cNvPr id="129" name="AutoShape_515_SpCnt_96"/>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17" name="AutoShape_515_SpCnt_97"/>
                  <wp:cNvGraphicFramePr/>
                  <a:graphic xmlns:a="http://schemas.openxmlformats.org/drawingml/2006/main">
                    <a:graphicData uri="http://schemas.openxmlformats.org/drawingml/2006/picture">
                      <pic:pic xmlns:pic="http://schemas.openxmlformats.org/drawingml/2006/picture">
                        <pic:nvPicPr>
                          <pic:cNvPr id="117" name="AutoShape_515_SpCnt_97"/>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05" name="AutoShape_515_SpCnt_98"/>
                  <wp:cNvGraphicFramePr/>
                  <a:graphic xmlns:a="http://schemas.openxmlformats.org/drawingml/2006/main">
                    <a:graphicData uri="http://schemas.openxmlformats.org/drawingml/2006/picture">
                      <pic:pic xmlns:pic="http://schemas.openxmlformats.org/drawingml/2006/picture">
                        <pic:nvPicPr>
                          <pic:cNvPr id="105" name="AutoShape_515_SpCnt_98"/>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21" name="AutoShape_515_SpCnt_99"/>
                  <wp:cNvGraphicFramePr/>
                  <a:graphic xmlns:a="http://schemas.openxmlformats.org/drawingml/2006/main">
                    <a:graphicData uri="http://schemas.openxmlformats.org/drawingml/2006/picture">
                      <pic:pic xmlns:pic="http://schemas.openxmlformats.org/drawingml/2006/picture">
                        <pic:nvPicPr>
                          <pic:cNvPr id="121" name="AutoShape_515_SpCnt_99"/>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22" name="AutoShape_515_SpCnt_100"/>
                  <wp:cNvGraphicFramePr/>
                  <a:graphic xmlns:a="http://schemas.openxmlformats.org/drawingml/2006/main">
                    <a:graphicData uri="http://schemas.openxmlformats.org/drawingml/2006/picture">
                      <pic:pic xmlns:pic="http://schemas.openxmlformats.org/drawingml/2006/picture">
                        <pic:nvPicPr>
                          <pic:cNvPr id="122" name="AutoShape_515_SpCnt_100"/>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0" cy="302260"/>
                  <wp:effectExtent l="0" t="0" r="0" b="0"/>
                  <wp:wrapNone/>
                  <wp:docPr id="123" name="AutoShape_515_SpCnt_101"/>
                  <wp:cNvGraphicFramePr/>
                  <a:graphic xmlns:a="http://schemas.openxmlformats.org/drawingml/2006/main">
                    <a:graphicData uri="http://schemas.openxmlformats.org/drawingml/2006/picture">
                      <pic:pic xmlns:pic="http://schemas.openxmlformats.org/drawingml/2006/picture">
                        <pic:nvPicPr>
                          <pic:cNvPr id="123" name="AutoShape_515_SpCnt_101"/>
                          <pic:cNvPicPr/>
                        </pic:nvPicPr>
                        <pic:blipFill>
                          <a:blip r:embed="rId4"/>
                          <a:stretch>
                            <a:fillRect/>
                          </a:stretch>
                        </pic:blipFill>
                        <pic:spPr>
                          <a:xfrm>
                            <a:off x="0" y="0"/>
                            <a:ext cx="330200" cy="3022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0" cy="302260"/>
                  <wp:effectExtent l="0" t="0" r="0" b="0"/>
                  <wp:wrapNone/>
                  <wp:docPr id="130" name="AutoShape_515_SpCnt_102"/>
                  <wp:cNvGraphicFramePr/>
                  <a:graphic xmlns:a="http://schemas.openxmlformats.org/drawingml/2006/main">
                    <a:graphicData uri="http://schemas.openxmlformats.org/drawingml/2006/picture">
                      <pic:pic xmlns:pic="http://schemas.openxmlformats.org/drawingml/2006/picture">
                        <pic:nvPicPr>
                          <pic:cNvPr id="130" name="AutoShape_515_SpCnt_102"/>
                          <pic:cNvPicPr/>
                        </pic:nvPicPr>
                        <pic:blipFill>
                          <a:blip r:embed="rId4"/>
                          <a:stretch>
                            <a:fillRect/>
                          </a:stretch>
                        </pic:blipFill>
                        <pic:spPr>
                          <a:xfrm>
                            <a:off x="0" y="0"/>
                            <a:ext cx="330200" cy="3022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24" name="AutoShape_515_SpCnt_103"/>
                  <wp:cNvGraphicFramePr/>
                  <a:graphic xmlns:a="http://schemas.openxmlformats.org/drawingml/2006/main">
                    <a:graphicData uri="http://schemas.openxmlformats.org/drawingml/2006/picture">
                      <pic:pic xmlns:pic="http://schemas.openxmlformats.org/drawingml/2006/picture">
                        <pic:nvPicPr>
                          <pic:cNvPr id="124" name="AutoShape_515_SpCnt_103"/>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0" cy="302260"/>
                  <wp:effectExtent l="0" t="0" r="0" b="0"/>
                  <wp:wrapNone/>
                  <wp:docPr id="101" name="AutoShape_515_SpCnt_104"/>
                  <wp:cNvGraphicFramePr/>
                  <a:graphic xmlns:a="http://schemas.openxmlformats.org/drawingml/2006/main">
                    <a:graphicData uri="http://schemas.openxmlformats.org/drawingml/2006/picture">
                      <pic:pic xmlns:pic="http://schemas.openxmlformats.org/drawingml/2006/picture">
                        <pic:nvPicPr>
                          <pic:cNvPr id="101" name="AutoShape_515_SpCnt_104"/>
                          <pic:cNvPicPr/>
                        </pic:nvPicPr>
                        <pic:blipFill>
                          <a:blip r:embed="rId4"/>
                          <a:stretch>
                            <a:fillRect/>
                          </a:stretch>
                        </pic:blipFill>
                        <pic:spPr>
                          <a:xfrm>
                            <a:off x="0" y="0"/>
                            <a:ext cx="330200" cy="3022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02" name="AutoShape_515_SpCnt_105"/>
                  <wp:cNvGraphicFramePr/>
                  <a:graphic xmlns:a="http://schemas.openxmlformats.org/drawingml/2006/main">
                    <a:graphicData uri="http://schemas.openxmlformats.org/drawingml/2006/picture">
                      <pic:pic xmlns:pic="http://schemas.openxmlformats.org/drawingml/2006/picture">
                        <pic:nvPicPr>
                          <pic:cNvPr id="102" name="AutoShape_515_SpCnt_105"/>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126" name="AutoShape_515_SpCnt_106"/>
                  <wp:cNvGraphicFramePr/>
                  <a:graphic xmlns:a="http://schemas.openxmlformats.org/drawingml/2006/main">
                    <a:graphicData uri="http://schemas.openxmlformats.org/drawingml/2006/picture">
                      <pic:pic xmlns:pic="http://schemas.openxmlformats.org/drawingml/2006/picture">
                        <pic:nvPicPr>
                          <pic:cNvPr id="126" name="AutoShape_515_SpCnt_106"/>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27" name="AutoShape_515_SpCnt_107"/>
                  <wp:cNvGraphicFramePr/>
                  <a:graphic xmlns:a="http://schemas.openxmlformats.org/drawingml/2006/main">
                    <a:graphicData uri="http://schemas.openxmlformats.org/drawingml/2006/picture">
                      <pic:pic xmlns:pic="http://schemas.openxmlformats.org/drawingml/2006/picture">
                        <pic:nvPicPr>
                          <pic:cNvPr id="127" name="AutoShape_515_SpCnt_107"/>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25" name="AutoShape_515_SpCnt_108"/>
                  <wp:cNvGraphicFramePr/>
                  <a:graphic xmlns:a="http://schemas.openxmlformats.org/drawingml/2006/main">
                    <a:graphicData uri="http://schemas.openxmlformats.org/drawingml/2006/picture">
                      <pic:pic xmlns:pic="http://schemas.openxmlformats.org/drawingml/2006/picture">
                        <pic:nvPicPr>
                          <pic:cNvPr id="125" name="AutoShape_515_SpCnt_108"/>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40" name="AutoShape_515_SpCnt_109"/>
                  <wp:cNvGraphicFramePr/>
                  <a:graphic xmlns:a="http://schemas.openxmlformats.org/drawingml/2006/main">
                    <a:graphicData uri="http://schemas.openxmlformats.org/drawingml/2006/picture">
                      <pic:pic xmlns:pic="http://schemas.openxmlformats.org/drawingml/2006/picture">
                        <pic:nvPicPr>
                          <pic:cNvPr id="140" name="AutoShape_515_SpCnt_109"/>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135" name="AutoShape_515_SpCnt_110"/>
                  <wp:cNvGraphicFramePr/>
                  <a:graphic xmlns:a="http://schemas.openxmlformats.org/drawingml/2006/main">
                    <a:graphicData uri="http://schemas.openxmlformats.org/drawingml/2006/picture">
                      <pic:pic xmlns:pic="http://schemas.openxmlformats.org/drawingml/2006/picture">
                        <pic:nvPicPr>
                          <pic:cNvPr id="135" name="AutoShape_515_SpCnt_110"/>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38" name="AutoShape_515_SpCnt_111"/>
                  <wp:cNvGraphicFramePr/>
                  <a:graphic xmlns:a="http://schemas.openxmlformats.org/drawingml/2006/main">
                    <a:graphicData uri="http://schemas.openxmlformats.org/drawingml/2006/picture">
                      <pic:pic xmlns:pic="http://schemas.openxmlformats.org/drawingml/2006/picture">
                        <pic:nvPicPr>
                          <pic:cNvPr id="138" name="AutoShape_515_SpCnt_111"/>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36" name="AutoShape_515_SpCnt_112"/>
                  <wp:cNvGraphicFramePr/>
                  <a:graphic xmlns:a="http://schemas.openxmlformats.org/drawingml/2006/main">
                    <a:graphicData uri="http://schemas.openxmlformats.org/drawingml/2006/picture">
                      <pic:pic xmlns:pic="http://schemas.openxmlformats.org/drawingml/2006/picture">
                        <pic:nvPicPr>
                          <pic:cNvPr id="136" name="AutoShape_515_SpCnt_112"/>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39" name="AutoShape_515_SpCnt_113"/>
                  <wp:cNvGraphicFramePr/>
                  <a:graphic xmlns:a="http://schemas.openxmlformats.org/drawingml/2006/main">
                    <a:graphicData uri="http://schemas.openxmlformats.org/drawingml/2006/picture">
                      <pic:pic xmlns:pic="http://schemas.openxmlformats.org/drawingml/2006/picture">
                        <pic:nvPicPr>
                          <pic:cNvPr id="139" name="AutoShape_515_SpCnt_113"/>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0" cy="302260"/>
                  <wp:effectExtent l="0" t="0" r="0" b="0"/>
                  <wp:wrapNone/>
                  <wp:docPr id="137" name="AutoShape_515_SpCnt_114"/>
                  <wp:cNvGraphicFramePr/>
                  <a:graphic xmlns:a="http://schemas.openxmlformats.org/drawingml/2006/main">
                    <a:graphicData uri="http://schemas.openxmlformats.org/drawingml/2006/picture">
                      <pic:pic xmlns:pic="http://schemas.openxmlformats.org/drawingml/2006/picture">
                        <pic:nvPicPr>
                          <pic:cNvPr id="137" name="AutoShape_515_SpCnt_114"/>
                          <pic:cNvPicPr/>
                        </pic:nvPicPr>
                        <pic:blipFill>
                          <a:blip r:embed="rId4"/>
                          <a:stretch>
                            <a:fillRect/>
                          </a:stretch>
                        </pic:blipFill>
                        <pic:spPr>
                          <a:xfrm>
                            <a:off x="0" y="0"/>
                            <a:ext cx="330200" cy="3022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41" name="AutoShape_515_SpCnt_115"/>
                  <wp:cNvGraphicFramePr/>
                  <a:graphic xmlns:a="http://schemas.openxmlformats.org/drawingml/2006/main">
                    <a:graphicData uri="http://schemas.openxmlformats.org/drawingml/2006/picture">
                      <pic:pic xmlns:pic="http://schemas.openxmlformats.org/drawingml/2006/picture">
                        <pic:nvPicPr>
                          <pic:cNvPr id="141" name="AutoShape_515_SpCnt_115"/>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34" name="AutoShape_515_SpCnt_116"/>
                  <wp:cNvGraphicFramePr/>
                  <a:graphic xmlns:a="http://schemas.openxmlformats.org/drawingml/2006/main">
                    <a:graphicData uri="http://schemas.openxmlformats.org/drawingml/2006/picture">
                      <pic:pic xmlns:pic="http://schemas.openxmlformats.org/drawingml/2006/picture">
                        <pic:nvPicPr>
                          <pic:cNvPr id="134" name="AutoShape_515_SpCnt_116"/>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0" cy="302260"/>
                  <wp:effectExtent l="0" t="0" r="0" b="0"/>
                  <wp:wrapNone/>
                  <wp:docPr id="132" name="AutoShape_515_SpCnt_117"/>
                  <wp:cNvGraphicFramePr/>
                  <a:graphic xmlns:a="http://schemas.openxmlformats.org/drawingml/2006/main">
                    <a:graphicData uri="http://schemas.openxmlformats.org/drawingml/2006/picture">
                      <pic:pic xmlns:pic="http://schemas.openxmlformats.org/drawingml/2006/picture">
                        <pic:nvPicPr>
                          <pic:cNvPr id="132" name="AutoShape_515_SpCnt_117"/>
                          <pic:cNvPicPr/>
                        </pic:nvPicPr>
                        <pic:blipFill>
                          <a:blip r:embed="rId4"/>
                          <a:stretch>
                            <a:fillRect/>
                          </a:stretch>
                        </pic:blipFill>
                        <pic:spPr>
                          <a:xfrm>
                            <a:off x="0" y="0"/>
                            <a:ext cx="330200" cy="3022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300990"/>
                  <wp:effectExtent l="0" t="0" r="0" b="0"/>
                  <wp:wrapNone/>
                  <wp:docPr id="133" name="AutoShape_515_SpCnt_118"/>
                  <wp:cNvGraphicFramePr/>
                  <a:graphic xmlns:a="http://schemas.openxmlformats.org/drawingml/2006/main">
                    <a:graphicData uri="http://schemas.openxmlformats.org/drawingml/2006/picture">
                      <pic:pic xmlns:pic="http://schemas.openxmlformats.org/drawingml/2006/picture">
                        <pic:nvPicPr>
                          <pic:cNvPr id="133" name="AutoShape_515_SpCnt_118"/>
                          <pic:cNvPicPr/>
                        </pic:nvPicPr>
                        <pic:blipFill>
                          <a:blip r:embed="rId4"/>
                          <a:stretch>
                            <a:fillRect/>
                          </a:stretch>
                        </pic:blipFill>
                        <pic:spPr>
                          <a:xfrm>
                            <a:off x="0" y="0"/>
                            <a:ext cx="334645" cy="3009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645" cy="293370"/>
                  <wp:effectExtent l="0" t="0" r="0" b="0"/>
                  <wp:wrapNone/>
                  <wp:docPr id="142" name="AutoShape_515_SpCnt_119"/>
                  <wp:cNvGraphicFramePr/>
                  <a:graphic xmlns:a="http://schemas.openxmlformats.org/drawingml/2006/main">
                    <a:graphicData uri="http://schemas.openxmlformats.org/drawingml/2006/picture">
                      <pic:pic xmlns:pic="http://schemas.openxmlformats.org/drawingml/2006/picture">
                        <pic:nvPicPr>
                          <pic:cNvPr id="142" name="AutoShape_515_SpCnt_119"/>
                          <pic:cNvPicPr/>
                        </pic:nvPicPr>
                        <pic:blipFill>
                          <a:blip r:embed="rId4"/>
                          <a:stretch>
                            <a:fillRect/>
                          </a:stretch>
                        </pic:blipFill>
                        <pic:spPr>
                          <a:xfrm>
                            <a:off x="0" y="0"/>
                            <a:ext cx="334645" cy="293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1.8路电源时序器，采用多功能一体化设计，1U机箱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2.设备级联接口采用RJ45网头设计，通过网钳制作网线即可。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3.支持设备多台级联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4.工作电压：AC220V/50~60HZ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5.可控路数：8 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6.外部控制：标准RS232/RS485串口控制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7.检测报告（广东省科学院电子电器研究所）含参数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（具有CMA、ilac.MRA、CNAS标志）</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iSonicavct（艾索）</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lang w:eastAsia="zh-CN"/>
                <w14:textFill>
                  <w14:solidFill>
                    <w14:schemeClr w14:val="tx1"/>
                  </w14:solidFill>
                </w14:textFill>
              </w:rPr>
              <w:t>DJG（科盟）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会议主机</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1、数字会议系统主机；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2、具有LCD显示屏，中/英文语言切换；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3、具有多种发言模式，包括主席专用、先进先出、后进先出、限制发言、自由讨论、压倒轮替 、申请发言等；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4、支持1-6发言人数任意设置，也可支持全部开放发言；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5、具有开机自检功能，话筒连接不正常时主机可蜂鸣报警；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6、具有断电记忆功能，重启后恢复上一次设置；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7、采用轻触式开关按键控制菜单功能，可进行相关系统设置；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8、主机最多支持接入话筒不少于60只，另具有一路扩展接口；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9、内置电话耦合器输入和输出端口；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10.会议智能化管理设置软件著作权登记证书</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iSonicavct（艾索）</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lang w:eastAsia="zh-CN"/>
                <w14:textFill>
                  <w14:solidFill>
                    <w14:schemeClr w14:val="tx1"/>
                  </w14:solidFill>
                </w14:textFill>
              </w:rPr>
              <w:t>DJG（科盟）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主席单元</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1.便携式主席发言单元；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2.主席单元有优先发言权，可随时关闭其他代表单元；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3.主席单元具有批准代表发言申请功能；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4.主席单元不受发言模式的限制，可保持常开状态；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5.具有液晶显示屏，可显示单元信息；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6.超强抗手机干扰能力，防止手机、蓝牙、无线电、WiFi等信号干扰；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7.内置扬声器，可用于会议扩音及播放会议背景音乐；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8.支持3.5音频输出，可通过耳机收听其他单元会议发言内容；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9.支持热插拔功能；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10.会议智能化管理设置软件著作权登记证书</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iSonicavct（艾索）</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lang w:eastAsia="zh-CN"/>
                <w14:textFill>
                  <w14:solidFill>
                    <w14:schemeClr w14:val="tx1"/>
                  </w14:solidFill>
                </w14:textFill>
              </w:rPr>
              <w:t>DJG（科盟）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代表单元</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1.便携式代表发言单元；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2.具有液晶显示屏，可显示单元信息；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3.超强抗手机干扰能力，防止手机、蓝牙、无线电、WiFi等信号干扰；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4.内置扬声器，可用于会议扩音及播放会议背景音乐；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5.支持3.5音频输出，可通过耳机收听其他单元会议发言内容；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6.支持热插拔功能；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7.会议智能化管理设置软件著作权登记证书</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iSonicavct（艾索）</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lang w:eastAsia="zh-CN"/>
                <w14:textFill>
                  <w14:solidFill>
                    <w14:schemeClr w14:val="tx1"/>
                  </w14:solidFill>
                </w14:textFill>
              </w:rPr>
              <w:t>DJG（科盟）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全彩LED显示屏</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1.显示尺寸： 宽度≥4.8 米，高度≥2.24 米；点间距：≤1.839mm，点密度≥295664点；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2.维护方式：前维护；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3.显示屏亮度：≥800cd/m2；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4.刷新率：≥3840Hz；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5.对比度：≥9000:1；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6.亮度均匀性：≥98%； 水平视角≥170°，垂直视角≥170°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7.色温：2500K-12000K可调；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8.色温误差：色温为6500K时，100%，75%，50%，25%四档电平白场调节色温误差≤200K； （提供具有CMA、ilAC-MRA及CNAS标识的权威第三方检测报告复印件，并加盖原厂公章）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9.供电方式：双电压DC2.8V/DC3.8V（提供具有CMA、ilAC-MRA及CNAS标识的权威第三方检测报告复印件，并加盖原厂公章）；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10.运行能耗：单模组纯功耗低于15W（提供具有CMA、ilAC-MRA及CNAS标识的权威第三方检测报告复印件，并加盖原厂公章）；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11.休眠模式功耗：显示屏黑屏不点亮时，功耗≤48W/㎡（提供具有CMA、ilAC-MRA及CNAS标识的权威第三方检测报告复印件，并加盖原厂公章）；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12.动态节能：带有智能节电功能，带电黑屏节电功能，开启智能节电功能比没有开启节能45%以上（提供具有CMA、ilAC-MRA及CNAS标识的权威第三方检测报告复印件，并加盖原厂公章）；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13.低亮度高灰度：支持EPWM 灰阶控制技术提升低灰视觉效果，0-100%亮度时，8-16bits任意灰度设置（提供具有CMA、ilAC-MRA及CNAS标识的权威第三方检测报告复印件，并加盖原厂公章）；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14.换帧频率：按SJ/T 11141-2017 5.11.2规定；C级≥60Hz（提供具有CMA、ilAC-MRA及CNAS标识的权威第三方检测报告复印件，并加盖原厂公章）；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15.白场色坐标检测：按SJ/T 11141-2017 5.10.5规定，检测结果合格（提供具有CMA、ilAC-MRA及CNAS标识的权威第三方检测报告复印件，并加盖原厂公章）；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16.视觉舒适度：（VICO指数）范围在0-1级，满足CSA035.2-2017标准（提供具有CMA、ilAC-MRA及CNAS标识的权威第三方检测报告复印件，并加盖原厂公章）；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17.击穿电压测试：采用GB/T 4677 印制板测试方法，GB/T 1408.1 ，IPC-TM-650 2.5.7D、IPC-TM-650 2.5.7.1、IPC-TM-6502.5.6B、IPC-TM-650 2.5.6.2AASTM D149 在工业用电频率时实心电绝缘材料的介电击穿电压与介电强度的试验方法，印刷板在经过湿热箱处理120h后进行测试，绝缘部分未被击穿（提供具有CMA、ilAC-MRA及CNAS标识的权威第三方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18.稳定性试验：设备在正常工作条件下，连续工作168h，不出现电、机械或操作系统的故障；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19.基色主波长误差：按SJ/11141-2017 5.10.4规定；C级≤5nm，亮度误差值在5%（提供具有CMA、ilAC-MRA及CNAS标识的权威第三方检测报告复印件，并加盖原厂公章）；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20.光生物安全：光生物安全及蓝光危害评估符合无危害类要求，属于无危害类产品；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21.漏电流测试：不大于5mA（AC峰值）。</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提供CCC证书复印件加盖原厂公章；</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10.752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14:textFill>
                  <w14:solidFill>
                    <w14:schemeClr w14:val="tx1"/>
                  </w14:solidFill>
                </w14:textFill>
              </w:rPr>
              <w:t>洲明</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sz w:val="20"/>
                <w:szCs w:val="20"/>
                <w:u w:val="none"/>
                <w14:textFill>
                  <w14:solidFill>
                    <w14:schemeClr w14:val="tx1"/>
                  </w14:solidFill>
                </w14:textFill>
              </w:rPr>
              <w:t>联建</w:t>
            </w:r>
            <w:r>
              <w:rPr>
                <w:rFonts w:hint="eastAsia" w:ascii="宋体" w:hAnsi="宋体" w:eastAsia="宋体" w:cs="宋体"/>
                <w:i w:val="0"/>
                <w:iCs w:val="0"/>
                <w:color w:val="FF0000"/>
                <w:sz w:val="20"/>
                <w:szCs w:val="20"/>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接收卡</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1.14bit 超深度色彩解析，支持图形 3D 渲染显示；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2.单扫描卡支持 32 组 RGB 数据信号输出，支持逐行扫描与隔行扫描；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3.支持 全刷新频率的驱动芯片；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4.支持 H265 和 H264 两种传输码率的视频图像解析显示；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5.支持亮度校正与色度校正；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6.含色彩校正功能，单点状态检测功能。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7.支持以下功能：模组乱序扫描， 抽行抽通道模组点亮， RGB 独立 Gamma 调节，误码率监测 ， Mapping 功能， 快速亮暗线调节 ，3D 功能，控制卡预存画面设置，灯板 Flash 管理 ，网线通讯状态监测 ，画面 90 度倍数旋转。</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14:textFill>
                  <w14:solidFill>
                    <w14:schemeClr w14:val="tx1"/>
                  </w14:solidFill>
                </w14:textFill>
              </w:rPr>
              <w:t>洲明</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sz w:val="20"/>
                <w:szCs w:val="20"/>
                <w:u w:val="none"/>
                <w14:textFill>
                  <w14:solidFill>
                    <w14:schemeClr w14:val="tx1"/>
                  </w14:solidFill>
                </w14:textFill>
              </w:rPr>
              <w:t>联建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电源</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5V40A 电源功率因素（PFC）：所投产品电源具备PFC功能，功率因素≥0.95</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14:textFill>
                  <w14:solidFill>
                    <w14:schemeClr w14:val="tx1"/>
                  </w14:solidFill>
                </w14:textFill>
              </w:rPr>
              <w:t>洲明</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sz w:val="20"/>
                <w:szCs w:val="20"/>
                <w:u w:val="none"/>
                <w14:textFill>
                  <w14:solidFill>
                    <w14:schemeClr w14:val="tx1"/>
                  </w14:solidFill>
                </w14:textFill>
              </w:rPr>
              <w:t>联建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音 视 频 综合 管 理 平台</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本次项目配置： 4路输入，10路千兆图像输出。 功能要求：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1、支持在任一输出通道打开多个窗口， 显示图像内容，单屏最多可开 16 个窗口。支持任意输入信号重复开窗功能。支持已开窗窗口任意互相叠加。支持窗口在多个输出通道共同显示区域内的位置任意移动。支持窗口大小改变，支持比例任意调整。支持窗口可剪切部分区域内容。支持在输入通道上叠加任意字符，可自定义字体、颜色、大小、位置、背景色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2、支持128个场景的本地保存与调用，同时支持场景自动定时轮巡；支持场景分组功能支持任意场景读取功能，支持场景分组功能；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3、场景调用无延时；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4、支持虚拟底图（全屏刷新时间小于 2S）及多屏机接入（实时刷新），支持点对点全屏；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5、支持读取输入信号参数指标，支持信号是否在线；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6、图像信号无损实时传输；图像信号无压缩、无失真传输；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7、支持整墙画面拼接同步显示功能，快速移动画面无撕裂、错位现象；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8、对于输入信号源进行单点采集， 采用数字化方式进行传输和调度，使得各个显示单元间信号窗口内容显示一致；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9、支持所有接入信号的实时画面预览，画面无卡顿。无线、有线客户端均可实现信号预览、预览内容与输出图像内容同步；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10、可在控制端观看不同分组屏的实时 60 帧全屏回显画面，支持外接显示器或解码盒输出；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11、支持控制软件实现不受数量限制的多组屏设置，不同组屏分辨率独立；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12、 支持 Dual Link DVI，DisplayPort，HDMI2.0 信号输入，支持 3840*2160@60hz，支持 EDID 编辑，支持自定义更高分辨率接入； 支持 HDBaseT 信号输入，支持 VGA，YPbPr 信号输入,信号最大支持 1920*1080@60Hz 输入；支持 DVI,HDMI1.3 信号输入,信号最大支持 1920*1080@60Hz 输入，支持 EDID 编辑， 支持自定义更高分辨率接入； 支持 CVBS 信号输入,支持 NTSC、PAL 格式； 支持 SDI 信号输入,支持 HD-SDI、SD-SDI、3G-SDI 等格式；支持IP H.264 信号输入,信号最大支持 1920*1080@60Hz 输入；支持 HDBaseT 标准协议，支持 3840*2160@60hz 信号输入，最大传输距离100米；支持光纤信号输入,支持单模光纤信号输入， 传输距离 15Km；支持随路音频输入输出同步切换；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13、支持多种输出信号格式 ,支持包括 DVI、VGA、 HDMI、 HDBaseT、 光纤 、Dual Link DVI、H264 等格式输出；输出信号分辨率,支持 4096*2160， 3840*2400、3840*2160、2560*1600、1920*1200、1920*1080、1600*1200、 1400*1050、1024*768、800*600、640*480 及任意定义分辨率；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14、最大单机背板信号处理带宽,单台 1600G，支持级联；单卡最大带宽,20G； 图像开窗响应速度,&lt;15ms；场景调取响应速度,&lt;20ms；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15、电源冗余及热插拔功能,支持 1+1 冗余电源、支持热插拔、支持负载均衡； 风扇热插拔功能,支持风扇热插拔；输入输出支持热插拔,输入输出板卡支持热插拔更换，系统无需停机，更换后自动恢复；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16、软件在线升级维护,支持软件远程在线升级维护。业务智能恢复功能,支持板卡更 换后自动恢复更换前工作状态；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17、支持级联时钟同步功能,支持级联设备间时钟同步；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18、具备 7*24 小时连续工作能力,支持 7*24 连续工作；                             19、具备红外、串口、网络、继电器控制接口；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20、低噪音设计,系统前后左右处 1m 处噪声小于 20db；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21、平均无故障时间&gt;100000 小时，最快修复时间（MTBF）&lt;5 分钟；                 22、泄露电流试验不大于 5mA（AC 峰值）。绝缘电阻试验电源插头或电源引入端子与外壳裸露金属部件之间的绝缘电阻在正常大气条件下应≥100M Ω，湿热条件下应≥2M 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23、抗电强度试验电源插头或电源引入端与外壳裸露金属部件之间，应能承受 1.5kV 交流电压，历时 1min的抗电强度试验，应无击穿和飞狐现象；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24、正弦振动试验10～ 55Hz，振幅0.35mm，每一轴向循环扫频 5 次，每次时间5min；</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26、稳定性试验设备在正常工作条件下，连续工作 7*24H（ 168H），不应出现电、机械或其它故障；</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14:textFill>
                  <w14:solidFill>
                    <w14:schemeClr w14:val="tx1"/>
                  </w14:solidFill>
                </w14:textFill>
              </w:rPr>
              <w:t>洲明</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sz w:val="20"/>
                <w:szCs w:val="20"/>
                <w:u w:val="none"/>
                <w14:textFill>
                  <w14:solidFill>
                    <w14:schemeClr w14:val="tx1"/>
                  </w14:solidFill>
                </w14:textFill>
              </w:rPr>
              <w:t>联建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 屏 显 示 系 统 播 放</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1、可通过客户端软件对显示屏系统进行设置管理、监控设备状态、信号显示控制操作，同时支持通过浏览器方式对系统设备进行配置管理、状态监控及信号调看操作；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2、支持信号一键上墙显示，软件自动完成信号切换设备通道切换；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3、要求一套软件可管理多套不同分辨率，不同类型的显示屏系统；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4、要求软件具备用户及权限管理功能，不同权限用户具备相应的管理、操作权限；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5、软件需具备设备状态监控及告警功能，监控发送卡输入源连接状态、接收卡温度、电压，监控信息显示，导出监控信息，监控信息实时刷新，监控信息邮件通知，告警设置和显示；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6、软件可对PLC配电箱单台控制或多台级联控制，添加显示屏时可选择指定的线路，单独控制每条线路的开关，支持大屏系统一键开关机，设置定时开关机；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7、软件支持显示墙显示场景的信号源布局管理，可设置和管理数量不限的显示场景，场景内容一键调看；且可定义场景分组，设置场景自动轮播；</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8、软件需具备系统配置数据备份和还原功能；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9、软件需具备第三方视频平台对接能力，获取摄像头信息数据，切换解码矩阵视频信号；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10、具有完整的二次开发接口，可以为SCADA、GPS、GIS系统提供大屏幕应用的二次开发需要，同时提供中控二次开发接口，真正发挥大屏幕系统高分辨率、多信号源、跨平台、集中显示的优势；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11、提供软件著作权证书；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12、与LED显示屏为同一品牌。</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14:textFill>
                  <w14:solidFill>
                    <w14:schemeClr w14:val="tx1"/>
                  </w14:solidFill>
                </w14:textFill>
              </w:rPr>
              <w:t>洲明</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sz w:val="20"/>
                <w:szCs w:val="20"/>
                <w:u w:val="none"/>
                <w14:textFill>
                  <w14:solidFill>
                    <w14:schemeClr w14:val="tx1"/>
                  </w14:solidFill>
                </w14:textFill>
              </w:rPr>
              <w:t>联建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2"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框架结构</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采用Q235优质方通或型材，方管1.2mm厚，型材1.0mm厚 ，外形尺寸：长4.89m,高2.33m</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11.3937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平方米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14:textFill>
                  <w14:solidFill>
                    <w14:schemeClr w14:val="tx1"/>
                  </w14:solidFill>
                </w14:textFill>
              </w:rPr>
              <w:t>洲明</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sz w:val="20"/>
                <w:szCs w:val="20"/>
                <w:u w:val="none"/>
                <w14:textFill>
                  <w14:solidFill>
                    <w14:schemeClr w14:val="tx1"/>
                  </w14:solidFill>
                </w14:textFill>
              </w:rPr>
              <w:t>联建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6"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屏内网线及电源线</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专用材料及配件</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10.752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平方米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0"/>
                <w:szCs w:val="20"/>
                <w:u w:val="none"/>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 xml:space="preserve">电源线：远东或长城     网线:海康或安普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配电箱</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16KW，</w:t>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定制</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配电箱内开关品牌：德力西，正泰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运输、保险、安装、调试</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10.752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平方米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高清视频会议摄像机</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1.1080P全高清 采用全新一代松下1/2.7英寸、207万有效像素的高品质HD CMOS传感器，可实现最大1920x1080高分辨率的优质图像。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2.超高帧率 1080P下输出帧频可达60fps。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3.72.5°广角镜+16x数字变焦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采用72.5°高品质超广角镜头，光学变焦达到12倍，并支持16倍数字变焦。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4.低照度，超高信噪比的全新CMOS图像传感器可有效降低在低照度情况下的图像噪声，同时应用2D和3D降噪算法，大幅降低图像噪声，即便是超低照度情况下，依然保持画面干净清晰，图像信噪比高达55dB以上。</w:t>
            </w:r>
          </w:p>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0"/>
                <w:szCs w:val="20"/>
                <w:u w:val="none"/>
                <w:lang w:val="en-US" w:eastAsia="zh-CN" w:bidi="ar"/>
              </w:rPr>
              <w:t>5.远程控制，可对摄像机进行控制。</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FF0000"/>
                <w:sz w:val="20"/>
                <w:szCs w:val="20"/>
                <w:u w:val="none"/>
                <w:lang w:val="en-US" w:eastAsia="zh-CN"/>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维海德、耳目达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电视</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55寸4K超高清 AI智能 网络液晶 悬浮全面屏 16G超大内存</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FF0000"/>
                <w:sz w:val="20"/>
                <w:szCs w:val="20"/>
                <w:u w:val="none"/>
                <w:lang w:val="en-US" w:eastAsia="zh-CN"/>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海信、创维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音频辅材</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会议延长线1根、音频隔离器1台、1.5米卡农线8条、1.5米大三芯线2条、电源线50米等</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视频辅材</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HDMI线2条、摄像机壁架或者吸顶架2个、音视频采集卡1个、电源线1根、控制线1根等</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2"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LED屏辅材</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主线缆（rvv3*4\rvv3*2.5 ）、高清线、螺钉、扎线、胶带、网头20个、屏内网络跳线40根、插排3个等</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FF0000"/>
                <w:sz w:val="20"/>
                <w:szCs w:val="20"/>
                <w:u w:val="none"/>
                <w:lang w:val="en-US" w:eastAsia="zh-CN"/>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线缆：远东或长城      插排：公牛，拳王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102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FF0000"/>
                <w:sz w:val="20"/>
                <w:szCs w:val="20"/>
                <w:u w:val="none"/>
                <w:lang w:val="en-US" w:eastAsia="zh-CN"/>
              </w:rPr>
            </w:pPr>
            <w:r>
              <w:rPr>
                <w:rFonts w:hint="eastAsia" w:ascii="宋体" w:hAnsi="宋体" w:eastAsia="宋体" w:cs="宋体"/>
                <w:b/>
                <w:bCs/>
                <w:i w:val="0"/>
                <w:iCs w:val="0"/>
                <w:color w:val="000000" w:themeColor="text1"/>
                <w:sz w:val="32"/>
                <w:szCs w:val="32"/>
                <w:u w:val="none"/>
                <w:lang w:val="en-US" w:eastAsia="zh-CN"/>
                <w14:textFill>
                  <w14:solidFill>
                    <w14:schemeClr w14:val="tx1"/>
                  </w14:solidFill>
                </w14:textFill>
              </w:rPr>
              <w:t>工程部分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门扇更改</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对现有报告厅门扇进行方向更改，改成外开门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舞台施工</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舞台背景更换，报告厅两侧更换为木质吸音板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19.98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舞台施工</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原地毯拆除，更换为加厚阻燃混纺新地毯</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29.75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舞台施工</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舞台背景墙不锈钢踢脚线进行更换，宽10CM，材质为不锈钢材质304拉丝</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m</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顶面施工</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保留现有吊顶完整的前提下,刷两遍乳胶漆、局部维修。涂料及腻子应满足国家标准要求，选用中高档品牌，健康环保，防腐防霉。</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000000" w:themeColor="text1"/>
                <w:sz w:val="20"/>
                <w:szCs w:val="20"/>
                <w:u w:val="none"/>
                <w14:textFill>
                  <w14:solidFill>
                    <w14:schemeClr w14:val="tx1"/>
                  </w14:solidFill>
                </w14:textFill>
              </w:rPr>
              <w:t>多乐士/立邦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2"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w:t>
            </w:r>
          </w:p>
        </w:tc>
        <w:tc>
          <w:tcPr>
            <w:tcW w:w="6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拆除原有两台吊顶投影仪和1台吊顶LED电子屏</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4"/>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注：或相当的品牌</w:t>
      </w:r>
    </w:p>
    <w:p>
      <w:pPr>
        <w:pStyle w:val="2"/>
        <w:numPr>
          <w:ilvl w:val="0"/>
          <w:numId w:val="2"/>
        </w:numPr>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付款方式</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val="en-US" w:eastAsia="zh-CN"/>
        </w:rPr>
        <w:t>预付款40%、工程验收付30%、审计完毕付至审计值的95%，质保期满付5%</w:t>
      </w:r>
    </w:p>
    <w:p>
      <w:pPr>
        <w:rPr>
          <w:rFonts w:hint="eastAsia"/>
          <w:lang w:val="en-US" w:eastAsia="zh-CN"/>
        </w:rPr>
      </w:pPr>
    </w:p>
    <w:p>
      <w:pPr>
        <w:numPr>
          <w:ilvl w:val="0"/>
          <w:numId w:val="0"/>
        </w:numPr>
        <w:rPr>
          <w:rFonts w:hint="default"/>
          <w:lang w:val="en-US"/>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both"/>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cs="Helvetica" w:asciiTheme="minorEastAsia" w:hAnsiTheme="minorEastAsia"/>
          <w:b/>
          <w:color w:val="333333"/>
          <w:sz w:val="28"/>
          <w:szCs w:val="28"/>
          <w:highlight w:val="none"/>
        </w:rPr>
      </w:pPr>
      <w:r>
        <w:rPr>
          <w:rFonts w:hint="eastAsia" w:cs="Helvetica" w:asciiTheme="minorEastAsia" w:hAnsiTheme="minorEastAsia"/>
          <w:b/>
          <w:color w:val="333333"/>
          <w:sz w:val="28"/>
          <w:szCs w:val="28"/>
          <w:highlight w:val="none"/>
        </w:rPr>
        <w:t>第三章  评分标准</w:t>
      </w:r>
    </w:p>
    <w:tbl>
      <w:tblPr>
        <w:tblStyle w:val="10"/>
        <w:tblpPr w:leftFromText="180" w:rightFromText="180" w:vertAnchor="text" w:horzAnchor="page" w:tblpX="1147" w:tblpY="1634"/>
        <w:tblOverlap w:val="never"/>
        <w:tblW w:w="9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091"/>
        <w:gridCol w:w="6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509" w:type="dxa"/>
            <w:gridSpan w:val="2"/>
            <w:vAlign w:val="center"/>
          </w:tcPr>
          <w:p>
            <w:pPr>
              <w:jc w:val="center"/>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cstheme="minorEastAsia"/>
                <w:b/>
                <w:sz w:val="24"/>
                <w:szCs w:val="24"/>
              </w:rPr>
              <w:t>评分项目及分值</w:t>
            </w:r>
          </w:p>
        </w:tc>
        <w:tc>
          <w:tcPr>
            <w:tcW w:w="6935" w:type="dxa"/>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418" w:type="dxa"/>
            <w:vMerge w:val="restart"/>
            <w:vAlign w:val="center"/>
          </w:tcPr>
          <w:p>
            <w:pPr>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cstheme="minorEastAsia"/>
                <w:color w:val="auto"/>
                <w:szCs w:val="21"/>
                <w:lang w:eastAsia="zh-CN"/>
              </w:rPr>
              <w:t>商务部分（</w:t>
            </w:r>
            <w:r>
              <w:rPr>
                <w:rFonts w:hint="eastAsia" w:asciiTheme="minorEastAsia" w:hAnsiTheme="minorEastAsia" w:cstheme="minorEastAsia"/>
                <w:color w:val="auto"/>
                <w:szCs w:val="21"/>
                <w:lang w:val="en-US" w:eastAsia="zh-CN"/>
              </w:rPr>
              <w:t>50</w:t>
            </w:r>
            <w:r>
              <w:rPr>
                <w:rFonts w:hint="eastAsia" w:asciiTheme="minorEastAsia" w:hAnsiTheme="minorEastAsia" w:cstheme="minorEastAsia"/>
                <w:color w:val="auto"/>
                <w:szCs w:val="21"/>
                <w:lang w:eastAsia="zh-CN"/>
              </w:rPr>
              <w:t>）</w:t>
            </w:r>
          </w:p>
        </w:tc>
        <w:tc>
          <w:tcPr>
            <w:tcW w:w="1091"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投标报价（30分）</w:t>
            </w:r>
          </w:p>
        </w:tc>
        <w:tc>
          <w:tcPr>
            <w:tcW w:w="6935"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shd w:val="clear" w:color="auto" w:fill="FFFFFF"/>
              </w:rPr>
              <w:t>满足招标文件要求且投标价格最低的有效投标报价为评标基准价，其价格分为满分30分。其他供应商的价格分统一按照下列公式计算：投标报价得分=（评标基准价/投标报价）×30，结果保留两位小数。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418" w:type="dxa"/>
            <w:vMerge w:val="continue"/>
            <w:vAlign w:val="center"/>
          </w:tcPr>
          <w:p>
            <w:pPr>
              <w:jc w:val="center"/>
              <w:rPr>
                <w:rFonts w:asciiTheme="minorEastAsia" w:hAnsiTheme="minorEastAsia" w:cstheme="minorEastAsia"/>
                <w:color w:val="auto"/>
                <w:szCs w:val="21"/>
              </w:rPr>
            </w:pPr>
          </w:p>
        </w:tc>
        <w:tc>
          <w:tcPr>
            <w:tcW w:w="1091"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企业业绩（</w:t>
            </w:r>
            <w:r>
              <w:rPr>
                <w:rFonts w:hint="eastAsia" w:asciiTheme="minorEastAsia" w:hAnsiTheme="minorEastAsia" w:cstheme="minorEastAsia"/>
                <w:color w:val="auto"/>
                <w:szCs w:val="21"/>
                <w:lang w:val="en-US" w:eastAsia="zh-CN"/>
              </w:rPr>
              <w:t>3</w:t>
            </w:r>
            <w:r>
              <w:rPr>
                <w:rFonts w:hint="eastAsia" w:asciiTheme="minorEastAsia" w:hAnsiTheme="minorEastAsia" w:cstheme="minorEastAsia"/>
                <w:color w:val="auto"/>
                <w:szCs w:val="21"/>
              </w:rPr>
              <w:t>分）</w:t>
            </w:r>
          </w:p>
        </w:tc>
        <w:tc>
          <w:tcPr>
            <w:tcW w:w="6935"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highlight w:val="none"/>
                <w:shd w:val="clear" w:color="auto" w:fill="FFFFFF"/>
              </w:rPr>
              <w:t>供应商2</w:t>
            </w:r>
            <w:r>
              <w:rPr>
                <w:rFonts w:asciiTheme="minorEastAsia" w:hAnsiTheme="minorEastAsia" w:cstheme="minorEastAsia"/>
                <w:color w:val="auto"/>
                <w:szCs w:val="21"/>
                <w:highlight w:val="none"/>
                <w:shd w:val="clear" w:color="auto" w:fill="FFFFFF"/>
              </w:rPr>
              <w:t>01</w:t>
            </w:r>
            <w:r>
              <w:rPr>
                <w:rFonts w:hint="eastAsia" w:asciiTheme="minorEastAsia" w:hAnsiTheme="minorEastAsia" w:cstheme="minorEastAsia"/>
                <w:color w:val="auto"/>
                <w:szCs w:val="21"/>
                <w:highlight w:val="none"/>
                <w:shd w:val="clear" w:color="auto" w:fill="FFFFFF"/>
                <w:lang w:val="en-US" w:eastAsia="zh-CN"/>
              </w:rPr>
              <w:t>9</w:t>
            </w:r>
            <w:r>
              <w:rPr>
                <w:rFonts w:hint="eastAsia" w:asciiTheme="minorEastAsia" w:hAnsiTheme="minorEastAsia" w:cstheme="minorEastAsia"/>
                <w:color w:val="auto"/>
                <w:szCs w:val="21"/>
                <w:highlight w:val="none"/>
                <w:shd w:val="clear" w:color="auto" w:fill="FFFFFF"/>
              </w:rPr>
              <w:t>年</w:t>
            </w:r>
            <w:r>
              <w:rPr>
                <w:rFonts w:hint="eastAsia" w:asciiTheme="minorEastAsia" w:hAnsiTheme="minorEastAsia" w:cstheme="minorEastAsia"/>
                <w:color w:val="auto"/>
                <w:szCs w:val="21"/>
                <w:highlight w:val="none"/>
                <w:shd w:val="clear" w:color="auto" w:fill="FFFFFF"/>
                <w:lang w:val="en-US" w:eastAsia="zh-CN"/>
              </w:rPr>
              <w:t>1</w:t>
            </w:r>
            <w:r>
              <w:rPr>
                <w:rFonts w:hint="eastAsia" w:asciiTheme="minorEastAsia" w:hAnsiTheme="minorEastAsia" w:cstheme="minorEastAsia"/>
                <w:color w:val="auto"/>
                <w:szCs w:val="21"/>
                <w:highlight w:val="none"/>
                <w:shd w:val="clear" w:color="auto" w:fill="FFFFFF"/>
              </w:rPr>
              <w:t>月1日以后签订的</w:t>
            </w:r>
            <w:r>
              <w:rPr>
                <w:rFonts w:hint="eastAsia" w:asciiTheme="minorEastAsia" w:hAnsiTheme="minorEastAsia" w:cstheme="minorEastAsia"/>
                <w:color w:val="auto"/>
                <w:szCs w:val="21"/>
                <w:highlight w:val="none"/>
                <w:shd w:val="clear" w:color="auto" w:fill="FFFFFF"/>
                <w:lang w:eastAsia="zh-CN"/>
              </w:rPr>
              <w:t>同类业绩，</w:t>
            </w:r>
            <w:r>
              <w:rPr>
                <w:rFonts w:hint="eastAsia" w:asciiTheme="minorEastAsia" w:hAnsiTheme="minorEastAsia" w:cstheme="minorEastAsia"/>
                <w:color w:val="auto"/>
                <w:szCs w:val="21"/>
                <w:highlight w:val="none"/>
                <w:shd w:val="clear" w:color="auto" w:fill="FFFFFF"/>
              </w:rPr>
              <w:t>每提供</w:t>
            </w:r>
            <w:r>
              <w:rPr>
                <w:rFonts w:hint="eastAsia" w:asciiTheme="minorEastAsia" w:hAnsiTheme="minorEastAsia" w:cstheme="minorEastAsia"/>
                <w:color w:val="auto"/>
                <w:szCs w:val="21"/>
                <w:highlight w:val="none"/>
                <w:shd w:val="clear" w:color="auto" w:fill="FFFFFF"/>
                <w:lang w:val="en-US" w:eastAsia="zh-CN"/>
              </w:rPr>
              <w:t>1</w:t>
            </w:r>
            <w:r>
              <w:rPr>
                <w:rFonts w:hint="eastAsia" w:asciiTheme="minorEastAsia" w:hAnsiTheme="minorEastAsia" w:cstheme="minorEastAsia"/>
                <w:color w:val="auto"/>
                <w:szCs w:val="21"/>
                <w:highlight w:val="none"/>
                <w:shd w:val="clear" w:color="auto" w:fill="FFFFFF"/>
              </w:rPr>
              <w:t>份得</w:t>
            </w:r>
            <w:r>
              <w:rPr>
                <w:rFonts w:hint="eastAsia" w:asciiTheme="minorEastAsia" w:hAnsiTheme="minorEastAsia" w:cstheme="minorEastAsia"/>
                <w:color w:val="auto"/>
                <w:szCs w:val="21"/>
                <w:highlight w:val="none"/>
                <w:shd w:val="clear" w:color="auto" w:fill="FFFFFF"/>
                <w:lang w:val="en-US" w:eastAsia="zh-CN"/>
              </w:rPr>
              <w:t>1</w:t>
            </w:r>
            <w:r>
              <w:rPr>
                <w:rFonts w:hint="eastAsia" w:asciiTheme="minorEastAsia" w:hAnsiTheme="minorEastAsia" w:cstheme="minorEastAsia"/>
                <w:color w:val="auto"/>
                <w:szCs w:val="21"/>
                <w:highlight w:val="none"/>
                <w:shd w:val="clear" w:color="auto" w:fill="FFFFFF"/>
              </w:rPr>
              <w:t>分，最高</w:t>
            </w:r>
            <w:r>
              <w:rPr>
                <w:rFonts w:hint="eastAsia" w:asciiTheme="minorEastAsia" w:hAnsiTheme="minorEastAsia" w:cstheme="minorEastAsia"/>
                <w:color w:val="auto"/>
                <w:szCs w:val="21"/>
                <w:highlight w:val="none"/>
                <w:shd w:val="clear" w:color="auto" w:fill="FFFFFF"/>
                <w:lang w:val="en-US" w:eastAsia="zh-CN"/>
              </w:rPr>
              <w:t>3</w:t>
            </w:r>
            <w:r>
              <w:rPr>
                <w:rFonts w:hint="eastAsia" w:asciiTheme="minorEastAsia" w:hAnsiTheme="minorEastAsia" w:cstheme="minorEastAsia"/>
                <w:color w:val="auto"/>
                <w:szCs w:val="21"/>
                <w:highlight w:val="none"/>
                <w:shd w:val="clear" w:color="auto" w:fill="FFFFFF"/>
              </w:rPr>
              <w:t>分。</w:t>
            </w:r>
            <w:r>
              <w:rPr>
                <w:rFonts w:hint="eastAsia" w:asciiTheme="minorEastAsia" w:hAnsiTheme="minorEastAsia" w:cstheme="minorEastAsia"/>
                <w:b/>
                <w:color w:val="auto"/>
                <w:szCs w:val="21"/>
                <w:highlight w:val="none"/>
                <w:shd w:val="clear" w:color="auto" w:fill="FFFFFF"/>
              </w:rPr>
              <w:t>（需提供合同原件，否则不得分）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1418" w:type="dxa"/>
            <w:vMerge w:val="continue"/>
            <w:vAlign w:val="center"/>
          </w:tcPr>
          <w:p>
            <w:pPr>
              <w:jc w:val="center"/>
              <w:rPr>
                <w:rFonts w:asciiTheme="minorEastAsia" w:hAnsiTheme="minorEastAsia" w:cstheme="minorEastAsia"/>
                <w:color w:val="auto"/>
                <w:szCs w:val="21"/>
              </w:rPr>
            </w:pPr>
          </w:p>
        </w:tc>
        <w:tc>
          <w:tcPr>
            <w:tcW w:w="1091"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企业资质（</w:t>
            </w:r>
            <w:r>
              <w:rPr>
                <w:rFonts w:hint="eastAsia" w:asciiTheme="minorEastAsia" w:hAnsiTheme="minorEastAsia" w:cstheme="minorEastAsia"/>
                <w:color w:val="auto"/>
                <w:szCs w:val="21"/>
                <w:lang w:val="en-US" w:eastAsia="zh-CN"/>
              </w:rPr>
              <w:t>7</w:t>
            </w:r>
            <w:r>
              <w:rPr>
                <w:rFonts w:hint="eastAsia" w:asciiTheme="minorEastAsia" w:hAnsiTheme="minorEastAsia" w:cstheme="minorEastAsia"/>
                <w:color w:val="auto"/>
                <w:szCs w:val="21"/>
              </w:rPr>
              <w:t>分）</w:t>
            </w:r>
          </w:p>
        </w:tc>
        <w:tc>
          <w:tcPr>
            <w:tcW w:w="6935" w:type="dxa"/>
            <w:vAlign w:val="center"/>
          </w:tcPr>
          <w:p>
            <w:pPr>
              <w:rPr>
                <w:rFonts w:hint="eastAsia" w:asciiTheme="minorEastAsia" w:hAnsiTheme="minorEastAsia" w:eastAsiaTheme="minorEastAsia" w:cstheme="minorEastAsia"/>
                <w:color w:val="auto"/>
                <w:szCs w:val="21"/>
                <w:highlight w:val="none"/>
                <w:shd w:val="clear" w:color="auto" w:fill="FFFFFF"/>
                <w:lang w:val="en-US" w:eastAsia="zh-CN"/>
              </w:rPr>
            </w:pPr>
            <w:r>
              <w:rPr>
                <w:rFonts w:hint="eastAsia" w:cs="宋体" w:asciiTheme="minorEastAsia" w:hAnsiTheme="minorEastAsia"/>
                <w:sz w:val="22"/>
                <w:lang w:val="en-US" w:eastAsia="zh-CN"/>
              </w:rPr>
              <w:t>1</w:t>
            </w:r>
            <w:r>
              <w:rPr>
                <w:rFonts w:hint="eastAsia" w:asciiTheme="minorEastAsia" w:hAnsiTheme="minorEastAsia" w:cstheme="minorEastAsia"/>
                <w:color w:val="auto"/>
                <w:szCs w:val="21"/>
                <w:highlight w:val="none"/>
                <w:shd w:val="clear" w:color="auto" w:fill="FFFFFF"/>
                <w:lang w:val="en-US" w:eastAsia="zh-CN"/>
              </w:rPr>
              <w:t>.</w:t>
            </w:r>
            <w:r>
              <w:rPr>
                <w:rFonts w:hint="eastAsia" w:asciiTheme="minorEastAsia" w:hAnsiTheme="minorEastAsia" w:cstheme="minorEastAsia"/>
                <w:color w:val="auto"/>
                <w:szCs w:val="21"/>
                <w:highlight w:val="none"/>
                <w:shd w:val="clear" w:color="auto" w:fill="FFFFFF"/>
              </w:rPr>
              <w:t>投标人具有安全技术防范工程设计施工壹级资质认证证书，得</w:t>
            </w:r>
            <w:r>
              <w:rPr>
                <w:rFonts w:hint="eastAsia" w:asciiTheme="minorEastAsia" w:hAnsiTheme="minorEastAsia" w:cstheme="minorEastAsia"/>
                <w:color w:val="auto"/>
                <w:szCs w:val="21"/>
                <w:highlight w:val="none"/>
                <w:shd w:val="clear" w:color="auto" w:fill="FFFFFF"/>
                <w:lang w:val="en-US" w:eastAsia="zh-CN"/>
              </w:rPr>
              <w:t>2</w:t>
            </w:r>
            <w:r>
              <w:rPr>
                <w:rFonts w:hint="eastAsia" w:asciiTheme="minorEastAsia" w:hAnsiTheme="minorEastAsia" w:cstheme="minorEastAsia"/>
                <w:color w:val="auto"/>
                <w:szCs w:val="21"/>
                <w:highlight w:val="none"/>
                <w:shd w:val="clear" w:color="auto" w:fill="FFFFFF"/>
              </w:rPr>
              <w:t>分</w:t>
            </w:r>
            <w:r>
              <w:rPr>
                <w:rFonts w:hint="eastAsia" w:asciiTheme="minorEastAsia" w:hAnsiTheme="minorEastAsia" w:cstheme="minorEastAsia"/>
                <w:color w:val="auto"/>
                <w:szCs w:val="21"/>
                <w:highlight w:val="none"/>
                <w:shd w:val="clear" w:color="auto" w:fill="FFFFFF"/>
                <w:lang w:val="en-US" w:eastAsia="zh-CN"/>
              </w:rPr>
              <w:t>;</w:t>
            </w:r>
          </w:p>
          <w:p>
            <w:pPr>
              <w:rPr>
                <w:rFonts w:hint="eastAsia" w:asciiTheme="minorEastAsia" w:hAnsiTheme="minorEastAsia" w:cstheme="minorEastAsia"/>
                <w:color w:val="auto"/>
                <w:szCs w:val="21"/>
                <w:highlight w:val="none"/>
                <w:shd w:val="clear" w:color="auto" w:fill="FFFFFF"/>
                <w:lang w:val="en-US" w:eastAsia="zh-CN"/>
              </w:rPr>
            </w:pPr>
            <w:r>
              <w:rPr>
                <w:rFonts w:hint="eastAsia" w:asciiTheme="minorEastAsia" w:hAnsiTheme="minorEastAsia" w:cstheme="minorEastAsia"/>
                <w:color w:val="auto"/>
                <w:szCs w:val="21"/>
                <w:highlight w:val="none"/>
                <w:shd w:val="clear" w:color="auto" w:fill="FFFFFF"/>
                <w:lang w:val="en-US" w:eastAsia="zh-CN"/>
              </w:rPr>
              <w:t>2.</w:t>
            </w:r>
            <w:r>
              <w:rPr>
                <w:rFonts w:hint="eastAsia" w:asciiTheme="minorEastAsia" w:hAnsiTheme="minorEastAsia" w:cstheme="minorEastAsia"/>
                <w:color w:val="auto"/>
                <w:szCs w:val="21"/>
                <w:highlight w:val="none"/>
                <w:shd w:val="clear" w:color="auto" w:fill="FFFFFF"/>
              </w:rPr>
              <w:t>投标人具有信息安全管理体系27001认证证书</w:t>
            </w:r>
            <w:r>
              <w:rPr>
                <w:rFonts w:hint="eastAsia" w:asciiTheme="minorEastAsia" w:hAnsiTheme="minorEastAsia" w:cstheme="minorEastAsia"/>
                <w:color w:val="auto"/>
                <w:szCs w:val="21"/>
                <w:highlight w:val="none"/>
                <w:shd w:val="clear" w:color="auto" w:fill="FFFFFF"/>
                <w:lang w:eastAsia="zh-CN"/>
              </w:rPr>
              <w:t>，</w:t>
            </w:r>
            <w:r>
              <w:rPr>
                <w:rFonts w:hint="eastAsia" w:asciiTheme="minorEastAsia" w:hAnsiTheme="minorEastAsia" w:cstheme="minorEastAsia"/>
                <w:color w:val="auto"/>
                <w:szCs w:val="21"/>
                <w:highlight w:val="none"/>
                <w:shd w:val="clear" w:color="auto" w:fill="FFFFFF"/>
              </w:rPr>
              <w:t>得</w:t>
            </w:r>
            <w:r>
              <w:rPr>
                <w:rFonts w:hint="eastAsia" w:asciiTheme="minorEastAsia" w:hAnsiTheme="minorEastAsia" w:cstheme="minorEastAsia"/>
                <w:color w:val="auto"/>
                <w:szCs w:val="21"/>
                <w:highlight w:val="none"/>
                <w:shd w:val="clear" w:color="auto" w:fill="FFFFFF"/>
                <w:lang w:val="en-US" w:eastAsia="zh-CN"/>
              </w:rPr>
              <w:t>2</w:t>
            </w:r>
            <w:r>
              <w:rPr>
                <w:rFonts w:hint="eastAsia" w:asciiTheme="minorEastAsia" w:hAnsiTheme="minorEastAsia" w:cstheme="minorEastAsia"/>
                <w:color w:val="auto"/>
                <w:szCs w:val="21"/>
                <w:highlight w:val="none"/>
                <w:shd w:val="clear" w:color="auto" w:fill="FFFFFF"/>
              </w:rPr>
              <w:t>分</w:t>
            </w:r>
            <w:r>
              <w:rPr>
                <w:rFonts w:hint="eastAsia" w:asciiTheme="minorEastAsia" w:hAnsiTheme="minorEastAsia" w:cstheme="minorEastAsia"/>
                <w:color w:val="auto"/>
                <w:szCs w:val="21"/>
                <w:highlight w:val="none"/>
                <w:shd w:val="clear" w:color="auto" w:fill="FFFFFF"/>
                <w:lang w:val="en-US" w:eastAsia="zh-CN"/>
              </w:rPr>
              <w:t>;</w:t>
            </w:r>
          </w:p>
          <w:p>
            <w:pPr>
              <w:rPr>
                <w:rFonts w:hint="eastAsia"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lang w:val="en-US" w:eastAsia="zh-CN"/>
              </w:rPr>
              <w:t>3.投标方具有企业安全生产许可证证书，</w:t>
            </w:r>
            <w:r>
              <w:rPr>
                <w:rFonts w:hint="eastAsia" w:asciiTheme="minorEastAsia" w:hAnsiTheme="minorEastAsia" w:cstheme="minorEastAsia"/>
                <w:color w:val="auto"/>
                <w:szCs w:val="21"/>
                <w:highlight w:val="none"/>
                <w:shd w:val="clear" w:color="auto" w:fill="FFFFFF"/>
              </w:rPr>
              <w:t>得</w:t>
            </w:r>
            <w:r>
              <w:rPr>
                <w:rFonts w:hint="eastAsia" w:asciiTheme="minorEastAsia" w:hAnsiTheme="minorEastAsia" w:cstheme="minorEastAsia"/>
                <w:color w:val="auto"/>
                <w:szCs w:val="21"/>
                <w:highlight w:val="none"/>
                <w:shd w:val="clear" w:color="auto" w:fill="FFFFFF"/>
                <w:lang w:val="en-US" w:eastAsia="zh-CN"/>
              </w:rPr>
              <w:t>3</w:t>
            </w:r>
            <w:r>
              <w:rPr>
                <w:rFonts w:hint="eastAsia" w:asciiTheme="minorEastAsia" w:hAnsiTheme="minorEastAsia" w:cstheme="minorEastAsia"/>
                <w:color w:val="auto"/>
                <w:szCs w:val="21"/>
                <w:highlight w:val="none"/>
                <w:shd w:val="clear" w:color="auto" w:fill="FFFFFF"/>
              </w:rPr>
              <w:t>分</w:t>
            </w:r>
          </w:p>
          <w:p>
            <w:pPr>
              <w:rPr>
                <w:rFonts w:asciiTheme="minorEastAsia" w:hAnsiTheme="minorEastAsia" w:cstheme="minorEastAsia"/>
                <w:color w:val="auto"/>
                <w:szCs w:val="21"/>
                <w:shd w:val="clear" w:color="auto" w:fill="FFFFFF"/>
              </w:rPr>
            </w:pPr>
            <w:r>
              <w:rPr>
                <w:rFonts w:hint="eastAsia" w:asciiTheme="minorEastAsia" w:hAnsiTheme="minorEastAsia" w:cstheme="minorEastAsia"/>
                <w:color w:val="auto"/>
                <w:szCs w:val="21"/>
                <w:highlight w:val="none"/>
                <w:shd w:val="clear" w:color="auto" w:fill="FFFFFF"/>
              </w:rPr>
              <w:t>（</w:t>
            </w:r>
            <w:r>
              <w:rPr>
                <w:rFonts w:hint="eastAsia" w:asciiTheme="minorEastAsia" w:hAnsiTheme="minorEastAsia" w:cstheme="minorEastAsia"/>
                <w:b/>
                <w:color w:val="auto"/>
                <w:szCs w:val="21"/>
                <w:highlight w:val="none"/>
                <w:shd w:val="clear" w:color="auto" w:fill="FFFFFF"/>
              </w:rPr>
              <w:t>需提供证书原</w:t>
            </w:r>
            <w:r>
              <w:rPr>
                <w:rFonts w:hint="eastAsia" w:asciiTheme="minorEastAsia" w:hAnsiTheme="minorEastAsia" w:cstheme="minorEastAsia"/>
                <w:b/>
                <w:color w:val="auto"/>
                <w:szCs w:val="21"/>
                <w:highlight w:val="none"/>
                <w:shd w:val="clear" w:color="auto" w:fill="FFFFFF"/>
                <w:lang w:eastAsia="zh-CN"/>
              </w:rPr>
              <w:t>件</w:t>
            </w:r>
            <w:r>
              <w:rPr>
                <w:rFonts w:hint="eastAsia" w:asciiTheme="minorEastAsia" w:hAnsiTheme="minorEastAsia" w:cstheme="minorEastAsia"/>
                <w:b/>
                <w:color w:val="auto"/>
                <w:szCs w:val="21"/>
                <w:highlight w:val="none"/>
                <w:shd w:val="clear" w:color="auto" w:fill="FFFFFF"/>
              </w:rPr>
              <w:t>，否则不得分</w:t>
            </w:r>
            <w:r>
              <w:rPr>
                <w:rFonts w:hint="eastAsia" w:asciiTheme="minorEastAsia" w:hAnsiTheme="minorEastAsia" w:cstheme="minorEastAsia"/>
                <w:color w:val="auto"/>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1418" w:type="dxa"/>
            <w:vMerge w:val="continue"/>
            <w:vAlign w:val="center"/>
          </w:tcPr>
          <w:p>
            <w:pPr>
              <w:jc w:val="center"/>
              <w:rPr>
                <w:rFonts w:asciiTheme="minorEastAsia" w:hAnsiTheme="minorEastAsia" w:cstheme="minorEastAsia"/>
                <w:color w:val="auto"/>
                <w:szCs w:val="21"/>
              </w:rPr>
            </w:pPr>
          </w:p>
        </w:tc>
        <w:tc>
          <w:tcPr>
            <w:tcW w:w="1091" w:type="dxa"/>
            <w:vAlign w:val="center"/>
          </w:tcPr>
          <w:p>
            <w:pPr>
              <w:jc w:val="both"/>
              <w:rPr>
                <w:rFonts w:hint="eastAsia" w:asciiTheme="minorEastAsia" w:hAnsiTheme="minorEastAsia" w:eastAsiaTheme="minorEastAsia" w:cstheme="minorEastAsia"/>
                <w:color w:val="auto"/>
                <w:szCs w:val="21"/>
                <w:lang w:val="en-US" w:eastAsia="zh-CN"/>
              </w:rPr>
            </w:pPr>
            <w:r>
              <w:rPr>
                <w:rFonts w:hint="eastAsia" w:asciiTheme="minorEastAsia" w:hAnsiTheme="minorEastAsia" w:cstheme="minorEastAsia"/>
                <w:color w:val="auto"/>
                <w:szCs w:val="21"/>
                <w:lang w:val="en-US" w:eastAsia="zh-CN"/>
              </w:rPr>
              <w:t>产品保障（10分）</w:t>
            </w:r>
          </w:p>
        </w:tc>
        <w:tc>
          <w:tcPr>
            <w:tcW w:w="6935" w:type="dxa"/>
            <w:vAlign w:val="center"/>
          </w:tcPr>
          <w:p>
            <w:pPr>
              <w:rPr>
                <w:rFonts w:hint="eastAsia" w:asciiTheme="minorEastAsia" w:hAnsiTheme="minorEastAsia" w:cstheme="minorEastAsia"/>
                <w:color w:val="auto"/>
                <w:szCs w:val="21"/>
                <w:highlight w:val="none"/>
                <w:shd w:val="clear" w:color="auto" w:fill="FFFFFF"/>
                <w:lang w:val="en-US" w:eastAsia="zh-CN"/>
              </w:rPr>
            </w:pPr>
            <w:r>
              <w:rPr>
                <w:rFonts w:hint="eastAsia" w:asciiTheme="minorEastAsia" w:hAnsiTheme="minorEastAsia" w:cstheme="minorEastAsia"/>
                <w:color w:val="auto"/>
                <w:szCs w:val="21"/>
                <w:highlight w:val="none"/>
                <w:shd w:val="clear" w:color="auto" w:fill="FFFFFF"/>
                <w:lang w:val="en-US" w:eastAsia="zh-CN"/>
              </w:rPr>
              <w:t>1.所投LED 显示屏需具有参数自动存储备份与丢失自恢复功能，支持多点温度监测功能，满足得4分（投标时提供软件著作权证书复印件电子文档并加盖公章，否则不得分。）</w:t>
            </w:r>
          </w:p>
          <w:p>
            <w:pPr>
              <w:rPr>
                <w:rFonts w:hint="eastAsia" w:asciiTheme="minorEastAsia" w:hAnsiTheme="minorEastAsia" w:cstheme="minorEastAsia"/>
                <w:color w:val="auto"/>
                <w:szCs w:val="21"/>
                <w:highlight w:val="none"/>
                <w:shd w:val="clear" w:color="auto" w:fill="FFFFFF"/>
                <w:lang w:val="en-US" w:eastAsia="zh-CN"/>
              </w:rPr>
            </w:pPr>
            <w:r>
              <w:rPr>
                <w:rFonts w:hint="eastAsia" w:asciiTheme="minorEastAsia" w:hAnsiTheme="minorEastAsia" w:cstheme="minorEastAsia"/>
                <w:color w:val="auto"/>
                <w:szCs w:val="21"/>
                <w:highlight w:val="none"/>
                <w:shd w:val="clear" w:color="auto" w:fill="FFFFFF"/>
                <w:lang w:val="en-US" w:eastAsia="zh-CN"/>
              </w:rPr>
              <w:t>2.所投大屏显示系统播放软件具有"不依赖第三方硬件而具备对显示屏、拼接控制器、LED播放控制器、PLC</w:t>
            </w:r>
            <w:bookmarkStart w:id="9" w:name="_GoBack"/>
            <w:bookmarkEnd w:id="9"/>
            <w:r>
              <w:rPr>
                <w:rFonts w:hint="eastAsia" w:asciiTheme="minorEastAsia" w:hAnsiTheme="minorEastAsia" w:cstheme="minorEastAsia"/>
                <w:color w:val="auto"/>
                <w:szCs w:val="21"/>
                <w:highlight w:val="none"/>
                <w:shd w:val="clear" w:color="auto" w:fill="FFFFFF"/>
                <w:lang w:val="en-US" w:eastAsia="zh-CN"/>
              </w:rPr>
              <w:t>配电箱、矩阵等设备进行集成控制的能力”得3分；（提供带有"CNAS、CMA" 标识的检测机构出具的符合技术性能要求的检测报告，须提供检测报告复印件电子文档并加盖公章，否则不得分）</w:t>
            </w:r>
          </w:p>
          <w:p>
            <w:pPr>
              <w:rPr>
                <w:rFonts w:hint="default"/>
                <w:lang w:val="en-US" w:eastAsia="zh-CN"/>
              </w:rPr>
            </w:pPr>
            <w:r>
              <w:rPr>
                <w:rFonts w:hint="eastAsia" w:asciiTheme="minorEastAsia" w:hAnsiTheme="minorEastAsia" w:cstheme="minorEastAsia"/>
                <w:color w:val="auto"/>
                <w:szCs w:val="21"/>
                <w:highlight w:val="none"/>
                <w:shd w:val="clear" w:color="auto" w:fill="FFFFFF"/>
                <w:lang w:val="en-US" w:eastAsia="zh-CN"/>
              </w:rPr>
              <w:t>3.所投大屏显示系统播放软件具有：支持单台、多台发送卡级联控制， 获取输入源连接状态、接收卡温度、电压等信息；支持调节发送卡亮度、色温和设置分辨率功能的得3分，（提供带有 "CNAS、CMA"标识的检测机构出具的符合技术性能要求的检测报告，须提供检测报告复印件电子文档并加盖公章，否则不得分）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418" w:type="dxa"/>
            <w:vMerge w:val="restart"/>
            <w:vAlign w:val="center"/>
          </w:tcPr>
          <w:p>
            <w:pPr>
              <w:ind w:left="210" w:hanging="210" w:hangingChars="100"/>
              <w:rPr>
                <w:rFonts w:hint="default" w:asciiTheme="minorEastAsia" w:hAnsiTheme="minorEastAsia" w:cstheme="minorEastAsia"/>
                <w:color w:val="auto"/>
                <w:szCs w:val="21"/>
                <w:shd w:val="clear" w:color="auto" w:fill="FFFFFF"/>
                <w:lang w:val="en-US" w:eastAsia="zh-CN"/>
              </w:rPr>
            </w:pPr>
            <w:r>
              <w:rPr>
                <w:rFonts w:hint="eastAsia" w:asciiTheme="minorEastAsia" w:hAnsiTheme="minorEastAsia" w:cstheme="minorEastAsia"/>
                <w:color w:val="auto"/>
                <w:szCs w:val="21"/>
                <w:shd w:val="clear" w:color="auto" w:fill="FFFFFF"/>
                <w:lang w:eastAsia="zh-CN"/>
              </w:rPr>
              <w:t>技术部分（</w:t>
            </w:r>
            <w:r>
              <w:rPr>
                <w:rFonts w:hint="eastAsia" w:asciiTheme="minorEastAsia" w:hAnsiTheme="minorEastAsia" w:cstheme="minorEastAsia"/>
                <w:color w:val="auto"/>
                <w:szCs w:val="21"/>
                <w:shd w:val="clear" w:color="auto" w:fill="FFFFFF"/>
                <w:lang w:val="en-US" w:eastAsia="zh-CN"/>
              </w:rPr>
              <w:t>50</w:t>
            </w:r>
            <w:r>
              <w:rPr>
                <w:rFonts w:hint="eastAsia" w:asciiTheme="minorEastAsia" w:hAnsiTheme="minorEastAsia" w:cstheme="minorEastAsia"/>
                <w:color w:val="auto"/>
                <w:szCs w:val="21"/>
                <w:shd w:val="clear" w:color="auto" w:fill="FFFFFF"/>
                <w:lang w:eastAsia="zh-CN"/>
              </w:rPr>
              <w:t>）</w:t>
            </w:r>
          </w:p>
        </w:tc>
        <w:tc>
          <w:tcPr>
            <w:tcW w:w="1091" w:type="dxa"/>
            <w:vAlign w:val="center"/>
          </w:tcPr>
          <w:p>
            <w:pPr>
              <w:jc w:val="center"/>
              <w:rPr>
                <w:rFonts w:hint="eastAsia" w:cs="宋体" w:asciiTheme="minorEastAsia" w:hAnsiTheme="minorEastAsia" w:eastAsiaTheme="minorEastAsia"/>
                <w:sz w:val="22"/>
                <w:highlight w:val="none"/>
                <w:lang w:eastAsia="zh-CN"/>
              </w:rPr>
            </w:pPr>
            <w:r>
              <w:rPr>
                <w:rFonts w:hint="eastAsia" w:cs="宋体" w:asciiTheme="minorEastAsia" w:hAnsiTheme="minorEastAsia"/>
                <w:sz w:val="22"/>
                <w:highlight w:val="none"/>
              </w:rPr>
              <w:t>技术</w:t>
            </w:r>
            <w:r>
              <w:rPr>
                <w:rFonts w:hint="eastAsia" w:cs="宋体" w:asciiTheme="minorEastAsia" w:hAnsiTheme="minorEastAsia"/>
                <w:sz w:val="22"/>
                <w:highlight w:val="none"/>
                <w:lang w:eastAsia="zh-CN"/>
              </w:rPr>
              <w:t>响应情况</w:t>
            </w:r>
          </w:p>
          <w:p>
            <w:pPr>
              <w:jc w:val="center"/>
              <w:rPr>
                <w:rFonts w:hint="eastAsia" w:asciiTheme="minorEastAsia" w:hAnsiTheme="minorEastAsia" w:eastAsiaTheme="minorEastAsia" w:cstheme="minorEastAsia"/>
                <w:color w:val="auto"/>
                <w:szCs w:val="21"/>
                <w:highlight w:val="none"/>
                <w:shd w:val="clear" w:color="auto" w:fill="FFFFFF"/>
                <w:lang w:eastAsia="zh-CN"/>
              </w:rPr>
            </w:pPr>
            <w:r>
              <w:rPr>
                <w:rFonts w:hint="eastAsia" w:cs="宋体" w:asciiTheme="minorEastAsia" w:hAnsiTheme="minorEastAsia"/>
                <w:sz w:val="22"/>
                <w:highlight w:val="none"/>
                <w:lang w:eastAsia="zh-CN"/>
              </w:rPr>
              <w:t>（</w:t>
            </w:r>
            <w:r>
              <w:rPr>
                <w:rFonts w:hint="eastAsia" w:cs="宋体" w:asciiTheme="minorEastAsia" w:hAnsiTheme="minorEastAsia"/>
                <w:sz w:val="22"/>
                <w:highlight w:val="none"/>
                <w:lang w:val="en-US" w:eastAsia="zh-CN"/>
              </w:rPr>
              <w:t>20</w:t>
            </w:r>
            <w:r>
              <w:rPr>
                <w:rFonts w:hint="eastAsia" w:cs="宋体" w:asciiTheme="minorEastAsia" w:hAnsiTheme="minorEastAsia"/>
                <w:sz w:val="22"/>
                <w:highlight w:val="none"/>
                <w:lang w:eastAsia="zh-CN"/>
              </w:rPr>
              <w:t>分）</w:t>
            </w:r>
          </w:p>
        </w:tc>
        <w:tc>
          <w:tcPr>
            <w:tcW w:w="6935" w:type="dxa"/>
            <w:vAlign w:val="center"/>
          </w:tcPr>
          <w:p>
            <w:pPr>
              <w:widowControl/>
              <w:spacing w:line="240" w:lineRule="atLeast"/>
              <w:jc w:val="left"/>
              <w:rPr>
                <w:rFonts w:hint="eastAsia" w:asciiTheme="minorEastAsia" w:hAnsiTheme="minorEastAsia" w:cstheme="minorEastAsia"/>
                <w:color w:val="auto"/>
                <w:szCs w:val="21"/>
                <w:shd w:val="clear" w:color="auto" w:fill="FFFFFF"/>
              </w:rPr>
            </w:pPr>
            <w:r>
              <w:rPr>
                <w:rFonts w:hint="eastAsia" w:cs="宋体" w:asciiTheme="minorEastAsia" w:hAnsiTheme="minorEastAsia"/>
                <w:sz w:val="22"/>
                <w:lang w:eastAsia="zh-CN"/>
              </w:rPr>
              <w:t>投标人完全</w:t>
            </w:r>
            <w:r>
              <w:rPr>
                <w:rFonts w:hint="eastAsia" w:cs="宋体" w:asciiTheme="minorEastAsia" w:hAnsiTheme="minorEastAsia"/>
                <w:sz w:val="22"/>
              </w:rPr>
              <w:t>满足</w:t>
            </w:r>
            <w:r>
              <w:rPr>
                <w:rFonts w:hint="eastAsia" w:cs="宋体" w:asciiTheme="minorEastAsia" w:hAnsiTheme="minorEastAsia"/>
                <w:sz w:val="22"/>
                <w:lang w:eastAsia="zh-CN"/>
              </w:rPr>
              <w:t>采购</w:t>
            </w:r>
            <w:r>
              <w:rPr>
                <w:rFonts w:hint="eastAsia" w:cs="宋体" w:asciiTheme="minorEastAsia" w:hAnsiTheme="minorEastAsia"/>
                <w:sz w:val="22"/>
              </w:rPr>
              <w:t>技术</w:t>
            </w:r>
            <w:r>
              <w:rPr>
                <w:rFonts w:hint="eastAsia" w:cs="宋体" w:asciiTheme="minorEastAsia" w:hAnsiTheme="minorEastAsia"/>
                <w:sz w:val="22"/>
                <w:lang w:eastAsia="zh-CN"/>
              </w:rPr>
              <w:t>需求的满分</w:t>
            </w:r>
            <w:r>
              <w:rPr>
                <w:rFonts w:hint="eastAsia" w:cs="宋体" w:asciiTheme="minorEastAsia" w:hAnsiTheme="minorEastAsia"/>
                <w:sz w:val="22"/>
                <w:lang w:val="en-US" w:eastAsia="zh-CN"/>
              </w:rPr>
              <w:t>20分，技术条款每出现一条负偏离（含检测报告）扣基础分3分，出现5条以上负偏离，响应情况不得分。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418" w:type="dxa"/>
            <w:vMerge w:val="continue"/>
            <w:vAlign w:val="center"/>
          </w:tcPr>
          <w:p>
            <w:pPr>
              <w:rPr>
                <w:rFonts w:hint="eastAsia" w:asciiTheme="minorEastAsia" w:hAnsiTheme="minorEastAsia" w:cstheme="minorEastAsia"/>
                <w:color w:val="auto"/>
                <w:szCs w:val="21"/>
                <w:shd w:val="clear" w:color="auto" w:fill="FFFFFF"/>
              </w:rPr>
            </w:pPr>
          </w:p>
        </w:tc>
        <w:tc>
          <w:tcPr>
            <w:tcW w:w="1091" w:type="dxa"/>
            <w:vAlign w:val="center"/>
          </w:tcPr>
          <w:p>
            <w:pPr>
              <w:jc w:val="center"/>
              <w:rPr>
                <w:rFonts w:hint="eastAsia" w:asciiTheme="minorEastAsia" w:hAnsiTheme="minorEastAsia" w:eastAsiaTheme="minorEastAsia" w:cstheme="minorEastAsia"/>
                <w:color w:val="auto"/>
                <w:szCs w:val="21"/>
                <w:highlight w:val="none"/>
                <w:shd w:val="clear" w:color="auto" w:fill="FFFFFF"/>
                <w:lang w:eastAsia="zh-CN"/>
              </w:rPr>
            </w:pPr>
            <w:r>
              <w:rPr>
                <w:rFonts w:hint="eastAsia" w:cs="宋体" w:asciiTheme="minorEastAsia" w:hAnsiTheme="minorEastAsia"/>
                <w:sz w:val="22"/>
                <w:highlight w:val="none"/>
              </w:rPr>
              <w:t>实施方案</w:t>
            </w:r>
            <w:r>
              <w:rPr>
                <w:rFonts w:hint="eastAsia" w:cs="宋体" w:asciiTheme="minorEastAsia" w:hAnsiTheme="minorEastAsia"/>
                <w:sz w:val="22"/>
                <w:highlight w:val="none"/>
                <w:lang w:eastAsia="zh-CN"/>
              </w:rPr>
              <w:t>（</w:t>
            </w:r>
            <w:r>
              <w:rPr>
                <w:rFonts w:hint="eastAsia" w:cs="宋体" w:asciiTheme="minorEastAsia" w:hAnsiTheme="minorEastAsia"/>
                <w:sz w:val="22"/>
                <w:highlight w:val="none"/>
                <w:lang w:val="en-US" w:eastAsia="zh-CN"/>
              </w:rPr>
              <w:t>9</w:t>
            </w:r>
            <w:r>
              <w:rPr>
                <w:rFonts w:hint="eastAsia" w:cs="宋体" w:asciiTheme="minorEastAsia" w:hAnsiTheme="minorEastAsia"/>
                <w:sz w:val="22"/>
                <w:highlight w:val="none"/>
                <w:lang w:eastAsia="zh-CN"/>
              </w:rPr>
              <w:t>分）</w:t>
            </w:r>
          </w:p>
        </w:tc>
        <w:tc>
          <w:tcPr>
            <w:tcW w:w="6935" w:type="dxa"/>
            <w:vAlign w:val="center"/>
          </w:tcPr>
          <w:p>
            <w:pPr>
              <w:widowControl/>
              <w:numPr>
                <w:ilvl w:val="0"/>
                <w:numId w:val="3"/>
              </w:numPr>
              <w:spacing w:line="240" w:lineRule="atLeast"/>
              <w:rPr>
                <w:rFonts w:hint="eastAsia" w:cs="宋体" w:asciiTheme="minorEastAsia" w:hAnsiTheme="minorEastAsia"/>
                <w:sz w:val="22"/>
              </w:rPr>
            </w:pPr>
            <w:r>
              <w:rPr>
                <w:rFonts w:hint="eastAsia" w:cs="宋体" w:asciiTheme="minorEastAsia" w:hAnsiTheme="minorEastAsia"/>
                <w:sz w:val="22"/>
              </w:rPr>
              <w:t>技术培训方案应符合招标文件要求，能够实现受训人员独立进行简单维护和修理操作。</w:t>
            </w:r>
            <w:r>
              <w:rPr>
                <w:rFonts w:hint="eastAsia" w:cs="宋体" w:asciiTheme="minorEastAsia" w:hAnsiTheme="minorEastAsia"/>
                <w:sz w:val="22"/>
                <w:lang w:eastAsia="zh-CN"/>
              </w:rPr>
              <w:t>得</w:t>
            </w:r>
            <w:r>
              <w:rPr>
                <w:rFonts w:hint="eastAsia" w:cs="宋体" w:asciiTheme="minorEastAsia" w:hAnsiTheme="minorEastAsia"/>
                <w:sz w:val="22"/>
              </w:rPr>
              <w:t>0-</w:t>
            </w:r>
            <w:r>
              <w:rPr>
                <w:rFonts w:hint="eastAsia" w:cs="宋体" w:asciiTheme="minorEastAsia" w:hAnsiTheme="minorEastAsia"/>
                <w:sz w:val="22"/>
                <w:lang w:val="en-US" w:eastAsia="zh-CN"/>
              </w:rPr>
              <w:t>3</w:t>
            </w:r>
            <w:r>
              <w:rPr>
                <w:rFonts w:hint="eastAsia" w:cs="宋体" w:asciiTheme="minorEastAsia" w:hAnsiTheme="minorEastAsia"/>
                <w:sz w:val="22"/>
              </w:rPr>
              <w:t>分。</w:t>
            </w:r>
          </w:p>
          <w:p>
            <w:pPr>
              <w:rPr>
                <w:rFonts w:hint="eastAsia" w:asciiTheme="minorEastAsia" w:hAnsiTheme="minorEastAsia" w:cstheme="minorEastAsia"/>
                <w:color w:val="auto"/>
                <w:szCs w:val="21"/>
                <w:highlight w:val="none"/>
                <w:shd w:val="clear" w:color="auto" w:fill="FFFFFF"/>
                <w:lang w:val="en-US" w:eastAsia="zh-CN"/>
              </w:rPr>
            </w:pPr>
            <w:r>
              <w:rPr>
                <w:rFonts w:hint="eastAsia" w:asciiTheme="minorEastAsia" w:hAnsiTheme="minorEastAsia" w:cstheme="minorEastAsia"/>
                <w:color w:val="auto"/>
                <w:szCs w:val="21"/>
                <w:highlight w:val="none"/>
                <w:shd w:val="clear" w:color="auto" w:fill="FFFFFF"/>
                <w:lang w:val="en-US" w:eastAsia="zh-CN"/>
              </w:rPr>
              <w:t>2.符合工期总体要求（工期10天）、进度安排合理，不影响医院正常医疗工作的进行，</w:t>
            </w:r>
            <w:r>
              <w:rPr>
                <w:rFonts w:hint="eastAsia" w:cs="宋体" w:asciiTheme="minorEastAsia" w:hAnsiTheme="minorEastAsia"/>
                <w:sz w:val="22"/>
                <w:lang w:eastAsia="zh-CN"/>
              </w:rPr>
              <w:t>得</w:t>
            </w:r>
            <w:r>
              <w:rPr>
                <w:rFonts w:hint="eastAsia" w:cs="宋体" w:asciiTheme="minorEastAsia" w:hAnsiTheme="minorEastAsia"/>
                <w:sz w:val="22"/>
              </w:rPr>
              <w:t>0-</w:t>
            </w:r>
            <w:r>
              <w:rPr>
                <w:rFonts w:hint="eastAsia" w:cs="宋体" w:asciiTheme="minorEastAsia" w:hAnsiTheme="minorEastAsia"/>
                <w:sz w:val="22"/>
                <w:lang w:val="en-US" w:eastAsia="zh-CN"/>
              </w:rPr>
              <w:t>3</w:t>
            </w:r>
            <w:r>
              <w:rPr>
                <w:rFonts w:hint="eastAsia" w:cs="宋体" w:asciiTheme="minorEastAsia" w:hAnsiTheme="minorEastAsia"/>
                <w:sz w:val="22"/>
              </w:rPr>
              <w:t>分。</w:t>
            </w:r>
          </w:p>
          <w:p>
            <w:pPr>
              <w:jc w:val="left"/>
              <w:rPr>
                <w:rFonts w:hint="eastAsia" w:asciiTheme="minorEastAsia" w:hAnsiTheme="minorEastAsia" w:cstheme="minorEastAsia"/>
                <w:color w:val="auto"/>
                <w:szCs w:val="21"/>
                <w:shd w:val="clear" w:color="auto" w:fill="FFFFFF"/>
                <w:lang w:eastAsia="zh-CN"/>
              </w:rPr>
            </w:pPr>
            <w:r>
              <w:rPr>
                <w:rFonts w:hint="eastAsia" w:cs="宋体" w:asciiTheme="minorEastAsia" w:hAnsiTheme="minorEastAsia"/>
                <w:sz w:val="22"/>
                <w:lang w:val="en-US" w:eastAsia="zh-CN"/>
              </w:rPr>
              <w:t>3</w:t>
            </w:r>
            <w:r>
              <w:rPr>
                <w:rFonts w:hint="eastAsia" w:cs="宋体" w:asciiTheme="minorEastAsia" w:hAnsiTheme="minorEastAsia"/>
                <w:sz w:val="22"/>
              </w:rPr>
              <w:t>.有针对本项目合理化建议。从系统设计思路清晰合理，整体方案架构完整，技术先进，开放性、易用性、扩展性和可靠性强，</w:t>
            </w:r>
            <w:r>
              <w:rPr>
                <w:rFonts w:hint="eastAsia" w:cs="宋体" w:asciiTheme="minorEastAsia" w:hAnsiTheme="minorEastAsia"/>
                <w:sz w:val="22"/>
                <w:highlight w:val="none"/>
              </w:rPr>
              <w:t>符合相关标准规范、系统配置的通用性、稳定性、安全性，符合业务需求等方面</w:t>
            </w:r>
            <w:r>
              <w:rPr>
                <w:rFonts w:hint="eastAsia" w:asciiTheme="minorEastAsia" w:hAnsiTheme="minorEastAsia" w:cstheme="minorEastAsia"/>
                <w:color w:val="auto"/>
                <w:szCs w:val="21"/>
                <w:highlight w:val="none"/>
                <w:shd w:val="clear" w:color="auto" w:fill="FFFFFF"/>
                <w:lang w:val="en-US" w:eastAsia="zh-CN"/>
              </w:rPr>
              <w:t>，</w:t>
            </w:r>
            <w:r>
              <w:rPr>
                <w:rFonts w:hint="eastAsia" w:cs="宋体" w:asciiTheme="minorEastAsia" w:hAnsiTheme="minorEastAsia"/>
                <w:sz w:val="22"/>
                <w:lang w:eastAsia="zh-CN"/>
              </w:rPr>
              <w:t>得</w:t>
            </w:r>
            <w:r>
              <w:rPr>
                <w:rFonts w:hint="eastAsia" w:cs="宋体" w:asciiTheme="minorEastAsia" w:hAnsiTheme="minorEastAsia"/>
                <w:sz w:val="22"/>
              </w:rPr>
              <w:t>0-</w:t>
            </w:r>
            <w:r>
              <w:rPr>
                <w:rFonts w:hint="eastAsia" w:cs="宋体" w:asciiTheme="minorEastAsia" w:hAnsiTheme="minorEastAsia"/>
                <w:sz w:val="22"/>
                <w:lang w:val="en-US" w:eastAsia="zh-CN"/>
              </w:rPr>
              <w:t>3</w:t>
            </w:r>
            <w:r>
              <w:rPr>
                <w:rFonts w:hint="eastAsia" w:cs="宋体" w:asciiTheme="minorEastAsia" w:hAnsiTheme="minorEastAsia"/>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18" w:type="dxa"/>
            <w:vMerge w:val="continue"/>
            <w:vAlign w:val="center"/>
          </w:tcPr>
          <w:p>
            <w:pPr>
              <w:rPr>
                <w:rFonts w:hint="eastAsia" w:asciiTheme="minorEastAsia" w:hAnsiTheme="minorEastAsia" w:cstheme="minorEastAsia"/>
                <w:color w:val="auto"/>
                <w:szCs w:val="21"/>
                <w:shd w:val="clear" w:color="auto" w:fill="FFFFFF"/>
              </w:rPr>
            </w:pPr>
          </w:p>
        </w:tc>
        <w:tc>
          <w:tcPr>
            <w:tcW w:w="1091" w:type="dxa"/>
            <w:vAlign w:val="center"/>
          </w:tcPr>
          <w:p>
            <w:pPr>
              <w:jc w:val="center"/>
              <w:rPr>
                <w:rFonts w:hint="eastAsia" w:cs="宋体" w:asciiTheme="minorEastAsia" w:hAnsiTheme="minorEastAsia"/>
                <w:sz w:val="22"/>
                <w:lang w:eastAsia="zh-CN"/>
              </w:rPr>
            </w:pPr>
            <w:r>
              <w:rPr>
                <w:rFonts w:hint="eastAsia" w:cs="宋体" w:asciiTheme="minorEastAsia" w:hAnsiTheme="minorEastAsia"/>
                <w:sz w:val="22"/>
                <w:lang w:eastAsia="zh-CN"/>
              </w:rPr>
              <w:t>产品功能演示</w:t>
            </w:r>
            <w:r>
              <w:rPr>
                <w:rFonts w:hint="eastAsia" w:cs="宋体" w:asciiTheme="minorEastAsia" w:hAnsiTheme="minorEastAsia"/>
                <w:sz w:val="22"/>
                <w:lang w:val="en-US" w:eastAsia="zh-CN"/>
              </w:rPr>
              <w:t xml:space="preserve">   </w:t>
            </w:r>
            <w:r>
              <w:rPr>
                <w:rFonts w:hint="eastAsia" w:cs="宋体" w:asciiTheme="minorEastAsia" w:hAnsiTheme="minorEastAsia"/>
                <w:sz w:val="22"/>
                <w:lang w:eastAsia="zh-CN"/>
              </w:rPr>
              <w:t>（</w:t>
            </w:r>
            <w:r>
              <w:rPr>
                <w:rFonts w:hint="eastAsia" w:cs="宋体" w:asciiTheme="minorEastAsia" w:hAnsiTheme="minorEastAsia"/>
                <w:sz w:val="22"/>
                <w:lang w:val="en-US" w:eastAsia="zh-CN"/>
              </w:rPr>
              <w:t>10分</w:t>
            </w:r>
            <w:r>
              <w:rPr>
                <w:rFonts w:hint="eastAsia" w:cs="宋体" w:asciiTheme="minorEastAsia" w:hAnsiTheme="minorEastAsia"/>
                <w:sz w:val="22"/>
                <w:lang w:eastAsia="zh-CN"/>
              </w:rPr>
              <w:t>）</w:t>
            </w:r>
          </w:p>
        </w:tc>
        <w:tc>
          <w:tcPr>
            <w:tcW w:w="6935" w:type="dxa"/>
            <w:vAlign w:val="center"/>
          </w:tcPr>
          <w:p>
            <w:pPr>
              <w:jc w:val="left"/>
              <w:rPr>
                <w:rFonts w:hint="eastAsia" w:cs="宋体" w:asciiTheme="minorEastAsia" w:hAnsiTheme="minorEastAsia"/>
                <w:sz w:val="22"/>
                <w:highlight w:val="yellow"/>
              </w:rPr>
            </w:pPr>
            <w:r>
              <w:rPr>
                <w:rFonts w:hint="eastAsia" w:cs="宋体" w:asciiTheme="minorEastAsia" w:hAnsiTheme="minorEastAsia"/>
                <w:sz w:val="22"/>
                <w:highlight w:val="none"/>
                <w:lang w:val="en-US" w:eastAsia="zh-CN"/>
              </w:rPr>
              <w:t>投标时需提供LED大屏、音视频管理一体机设备样品进行现场功能逐项演示，根据满足演示要求情况，</w:t>
            </w:r>
            <w:r>
              <w:rPr>
                <w:rFonts w:hint="eastAsia" w:cs="宋体" w:asciiTheme="minorEastAsia" w:hAnsiTheme="minorEastAsia"/>
                <w:sz w:val="22"/>
                <w:highlight w:val="none"/>
              </w:rPr>
              <w:t>由专家评委进行打分</w:t>
            </w:r>
            <w:r>
              <w:rPr>
                <w:rFonts w:hint="eastAsia" w:cs="宋体" w:asciiTheme="minorEastAsia" w:hAnsiTheme="minorEastAsia"/>
                <w:sz w:val="22"/>
                <w:highlight w:val="none"/>
                <w:lang w:val="en-US" w:eastAsia="zh-CN"/>
              </w:rPr>
              <w:t>:0-10分</w:t>
            </w:r>
            <w:r>
              <w:rPr>
                <w:rFonts w:hint="eastAsia" w:cs="宋体" w:asciiTheme="minorEastAsia" w:hAnsiTheme="minorEastAsia"/>
                <w:sz w:val="22"/>
                <w:highlight w:val="none"/>
                <w:lang w:eastAsia="zh-CN"/>
              </w:rPr>
              <w:t>；</w:t>
            </w:r>
            <w:r>
              <w:rPr>
                <w:rFonts w:hint="eastAsia" w:cs="宋体" w:asciiTheme="minorEastAsia" w:hAnsiTheme="minorEastAsia"/>
                <w:sz w:val="22"/>
                <w:highlight w:val="none"/>
                <w:lang w:val="en-US" w:eastAsia="zh-CN"/>
              </w:rPr>
              <w:t>不提供样品演示不得分。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1418" w:type="dxa"/>
            <w:vMerge w:val="continue"/>
            <w:vAlign w:val="center"/>
          </w:tcPr>
          <w:p>
            <w:pPr>
              <w:rPr>
                <w:rFonts w:hint="eastAsia" w:asciiTheme="minorEastAsia" w:hAnsiTheme="minorEastAsia" w:cstheme="minorEastAsia"/>
                <w:color w:val="auto"/>
                <w:szCs w:val="21"/>
                <w:shd w:val="clear" w:color="auto" w:fill="FFFFFF"/>
              </w:rPr>
            </w:pPr>
          </w:p>
        </w:tc>
        <w:tc>
          <w:tcPr>
            <w:tcW w:w="1091" w:type="dxa"/>
            <w:vAlign w:val="center"/>
          </w:tcPr>
          <w:p>
            <w:pPr>
              <w:jc w:val="center"/>
              <w:rPr>
                <w:rFonts w:hint="eastAsia" w:asciiTheme="minorEastAsia" w:hAnsiTheme="minorEastAsia" w:eastAsiaTheme="minorEastAsia" w:cstheme="minorEastAsia"/>
                <w:color w:val="auto"/>
                <w:szCs w:val="21"/>
                <w:shd w:val="clear" w:color="auto" w:fill="FFFFFF"/>
                <w:lang w:eastAsia="zh-CN"/>
              </w:rPr>
            </w:pPr>
            <w:r>
              <w:rPr>
                <w:rFonts w:hint="eastAsia" w:cs="宋体" w:asciiTheme="minorEastAsia" w:hAnsiTheme="minorEastAsia"/>
                <w:sz w:val="22"/>
              </w:rPr>
              <w:t>技术力量</w:t>
            </w:r>
            <w:r>
              <w:rPr>
                <w:rFonts w:hint="eastAsia" w:cs="宋体" w:asciiTheme="minorEastAsia" w:hAnsiTheme="minorEastAsia"/>
                <w:sz w:val="22"/>
                <w:lang w:eastAsia="zh-CN"/>
              </w:rPr>
              <w:t>（</w:t>
            </w:r>
            <w:r>
              <w:rPr>
                <w:rFonts w:hint="eastAsia" w:cs="宋体" w:asciiTheme="minorEastAsia" w:hAnsiTheme="minorEastAsia"/>
                <w:sz w:val="22"/>
                <w:lang w:val="en-US" w:eastAsia="zh-CN"/>
              </w:rPr>
              <w:t>6</w:t>
            </w:r>
            <w:r>
              <w:rPr>
                <w:rFonts w:hint="eastAsia" w:cs="宋体" w:asciiTheme="minorEastAsia" w:hAnsiTheme="minorEastAsia"/>
                <w:sz w:val="22"/>
                <w:lang w:eastAsia="zh-CN"/>
              </w:rPr>
              <w:t>分）</w:t>
            </w:r>
          </w:p>
        </w:tc>
        <w:tc>
          <w:tcPr>
            <w:tcW w:w="6935" w:type="dxa"/>
            <w:vAlign w:val="center"/>
          </w:tcPr>
          <w:p>
            <w:pPr>
              <w:jc w:val="left"/>
              <w:rPr>
                <w:rFonts w:hint="eastAsia" w:cs="宋体" w:asciiTheme="minorEastAsia" w:hAnsiTheme="minorEastAsia"/>
                <w:sz w:val="22"/>
                <w:lang w:val="en-US" w:eastAsia="zh-CN"/>
              </w:rPr>
            </w:pPr>
            <w:r>
              <w:rPr>
                <w:rFonts w:hint="eastAsia" w:cs="宋体" w:asciiTheme="minorEastAsia" w:hAnsiTheme="minorEastAsia"/>
                <w:sz w:val="22"/>
                <w:lang w:val="en-US" w:eastAsia="zh-CN"/>
              </w:rPr>
              <w:t>1.</w:t>
            </w:r>
            <w:r>
              <w:rPr>
                <w:rFonts w:hint="eastAsia" w:cs="宋体" w:asciiTheme="minorEastAsia" w:hAnsiTheme="minorEastAsia"/>
                <w:sz w:val="22"/>
                <w:lang w:val="zh-CN" w:eastAsia="zh-CN"/>
              </w:rPr>
              <w:t>投标人在项目实施过程中所投入的技术人员中具</w:t>
            </w:r>
            <w:r>
              <w:rPr>
                <w:rFonts w:hint="eastAsia" w:cs="宋体" w:asciiTheme="minorEastAsia" w:hAnsiTheme="minorEastAsia"/>
                <w:sz w:val="22"/>
                <w:lang w:val="en-US" w:eastAsia="zh-CN"/>
              </w:rPr>
              <w:t>有系统集成工程师专业的。</w:t>
            </w:r>
          </w:p>
          <w:p>
            <w:pPr>
              <w:jc w:val="left"/>
              <w:rPr>
                <w:rFonts w:hint="eastAsia" w:cs="宋体" w:asciiTheme="minorEastAsia" w:hAnsiTheme="minorEastAsia"/>
                <w:sz w:val="22"/>
                <w:lang w:val="zh-CN" w:eastAsia="zh-CN"/>
              </w:rPr>
            </w:pPr>
            <w:r>
              <w:rPr>
                <w:rFonts w:hint="eastAsia" w:cs="宋体" w:asciiTheme="minorEastAsia" w:hAnsiTheme="minorEastAsia"/>
                <w:sz w:val="22"/>
                <w:lang w:val="en-US" w:eastAsia="zh-CN"/>
              </w:rPr>
              <w:t>2.</w:t>
            </w:r>
            <w:r>
              <w:rPr>
                <w:rFonts w:hint="eastAsia" w:cs="宋体" w:asciiTheme="minorEastAsia" w:hAnsiTheme="minorEastAsia"/>
                <w:sz w:val="22"/>
                <w:lang w:val="zh-CN" w:eastAsia="zh-CN"/>
              </w:rPr>
              <w:t>投标人在项目实施过程中所投入的技术人员中具有智能系统工程师认证的。</w:t>
            </w:r>
          </w:p>
          <w:p>
            <w:pPr>
              <w:jc w:val="left"/>
              <w:rPr>
                <w:rFonts w:hint="eastAsia" w:cs="宋体" w:asciiTheme="minorEastAsia" w:hAnsiTheme="minorEastAsia"/>
                <w:sz w:val="22"/>
                <w:lang w:val="zh-CN" w:eastAsia="zh-CN"/>
              </w:rPr>
            </w:pPr>
            <w:r>
              <w:rPr>
                <w:rFonts w:hint="eastAsia" w:cs="宋体" w:asciiTheme="minorEastAsia" w:hAnsiTheme="minorEastAsia"/>
                <w:sz w:val="22"/>
                <w:lang w:val="en-US" w:eastAsia="zh-CN"/>
              </w:rPr>
              <w:t>3.</w:t>
            </w:r>
            <w:r>
              <w:rPr>
                <w:rFonts w:hint="eastAsia" w:cs="宋体" w:asciiTheme="minorEastAsia" w:hAnsiTheme="minorEastAsia"/>
                <w:sz w:val="22"/>
                <w:lang w:val="zh-CN" w:eastAsia="zh-CN"/>
              </w:rPr>
              <w:t>投标人在项目实施过程中所投入的技术人员中具有综合布线管理员认证的。</w:t>
            </w:r>
          </w:p>
          <w:p>
            <w:pPr>
              <w:jc w:val="left"/>
              <w:rPr>
                <w:rFonts w:hint="eastAsia" w:asciiTheme="minorEastAsia" w:hAnsiTheme="minorEastAsia" w:cstheme="minorEastAsia"/>
                <w:color w:val="auto"/>
                <w:szCs w:val="21"/>
                <w:shd w:val="clear" w:color="auto" w:fill="FFFFFF"/>
                <w:lang w:eastAsia="zh-CN"/>
              </w:rPr>
            </w:pPr>
            <w:r>
              <w:rPr>
                <w:rFonts w:hint="eastAsia" w:cs="宋体" w:asciiTheme="minorEastAsia" w:hAnsiTheme="minorEastAsia"/>
                <w:sz w:val="22"/>
              </w:rPr>
              <w:t>以上</w:t>
            </w:r>
            <w:r>
              <w:rPr>
                <w:rFonts w:hint="eastAsia" w:cs="宋体" w:asciiTheme="minorEastAsia" w:hAnsiTheme="minorEastAsia"/>
                <w:sz w:val="22"/>
                <w:lang w:val="en-US" w:eastAsia="zh-CN"/>
              </w:rPr>
              <w:t>3</w:t>
            </w:r>
            <w:r>
              <w:rPr>
                <w:rFonts w:hint="eastAsia" w:cs="宋体" w:asciiTheme="minorEastAsia" w:hAnsiTheme="minorEastAsia"/>
                <w:sz w:val="22"/>
                <w:lang w:eastAsia="zh-CN"/>
              </w:rPr>
              <w:t>项</w:t>
            </w:r>
            <w:r>
              <w:rPr>
                <w:rFonts w:hint="eastAsia" w:cs="宋体" w:asciiTheme="minorEastAsia" w:hAnsiTheme="minorEastAsia"/>
                <w:sz w:val="22"/>
              </w:rPr>
              <w:t>均需提供证书原件和社保关系证明原件扫描件</w:t>
            </w:r>
            <w:r>
              <w:rPr>
                <w:rFonts w:hint="eastAsia" w:cs="宋体" w:asciiTheme="minorEastAsia" w:hAnsiTheme="minorEastAsia"/>
                <w:sz w:val="22"/>
                <w:lang w:eastAsia="zh-CN"/>
              </w:rPr>
              <w:t>，</w:t>
            </w:r>
            <w:r>
              <w:rPr>
                <w:rFonts w:hint="eastAsia" w:cs="宋体" w:asciiTheme="minorEastAsia" w:hAnsiTheme="minorEastAsia"/>
                <w:sz w:val="22"/>
              </w:rPr>
              <w:t>每</w:t>
            </w:r>
            <w:r>
              <w:rPr>
                <w:rFonts w:hint="eastAsia" w:cs="宋体" w:asciiTheme="minorEastAsia" w:hAnsiTheme="minorEastAsia"/>
                <w:sz w:val="22"/>
                <w:lang w:eastAsia="zh-CN"/>
              </w:rPr>
              <w:t>提供一项</w:t>
            </w:r>
            <w:r>
              <w:rPr>
                <w:rFonts w:hint="eastAsia" w:cs="宋体" w:asciiTheme="minorEastAsia" w:hAnsiTheme="minorEastAsia"/>
                <w:sz w:val="22"/>
              </w:rPr>
              <w:t>得</w:t>
            </w:r>
            <w:r>
              <w:rPr>
                <w:rFonts w:hint="eastAsia" w:cs="宋体" w:asciiTheme="minorEastAsia" w:hAnsiTheme="minorEastAsia"/>
                <w:sz w:val="22"/>
                <w:lang w:val="en-US" w:eastAsia="zh-CN"/>
              </w:rPr>
              <w:t>2</w:t>
            </w:r>
            <w:r>
              <w:rPr>
                <w:rFonts w:hint="eastAsia" w:cs="宋体" w:asciiTheme="minorEastAsia" w:hAnsiTheme="minorEastAsia"/>
                <w:sz w:val="22"/>
              </w:rPr>
              <w:t>分，</w:t>
            </w:r>
            <w:r>
              <w:rPr>
                <w:rFonts w:hint="eastAsia" w:cs="宋体" w:asciiTheme="minorEastAsia" w:hAnsiTheme="minorEastAsia"/>
                <w:sz w:val="22"/>
                <w:lang w:eastAsia="zh-CN"/>
              </w:rPr>
              <w:t>满分</w:t>
            </w:r>
            <w:r>
              <w:rPr>
                <w:rFonts w:hint="eastAsia" w:cs="宋体" w:asciiTheme="minorEastAsia" w:hAnsiTheme="minorEastAsia"/>
                <w:sz w:val="22"/>
              </w:rPr>
              <w:t>得</w:t>
            </w:r>
            <w:r>
              <w:rPr>
                <w:rFonts w:hint="eastAsia" w:cs="宋体" w:asciiTheme="minorEastAsia" w:hAnsiTheme="minorEastAsia"/>
                <w:sz w:val="22"/>
                <w:lang w:val="en-US" w:eastAsia="zh-CN"/>
              </w:rPr>
              <w:t>6</w:t>
            </w:r>
            <w:r>
              <w:rPr>
                <w:rFonts w:hint="eastAsia" w:cs="宋体" w:asciiTheme="minorEastAsia" w:hAnsiTheme="minorEastAsia"/>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418" w:type="dxa"/>
            <w:vMerge w:val="continue"/>
            <w:vAlign w:val="center"/>
          </w:tcPr>
          <w:p>
            <w:pPr>
              <w:rPr>
                <w:rFonts w:hint="eastAsia" w:asciiTheme="minorEastAsia" w:hAnsiTheme="minorEastAsia" w:cstheme="minorEastAsia"/>
                <w:color w:val="auto"/>
                <w:szCs w:val="21"/>
                <w:shd w:val="clear" w:color="auto" w:fill="FFFFFF"/>
              </w:rPr>
            </w:pPr>
          </w:p>
        </w:tc>
        <w:tc>
          <w:tcPr>
            <w:tcW w:w="1091" w:type="dxa"/>
            <w:vAlign w:val="center"/>
          </w:tcPr>
          <w:p>
            <w:pPr>
              <w:jc w:val="center"/>
              <w:rPr>
                <w:rFonts w:hint="eastAsia" w:asciiTheme="minorEastAsia" w:hAnsiTheme="minorEastAsia" w:eastAsiaTheme="minorEastAsia" w:cstheme="minorEastAsia"/>
                <w:color w:val="auto"/>
                <w:szCs w:val="21"/>
                <w:shd w:val="clear" w:color="auto" w:fill="FFFFFF"/>
                <w:lang w:eastAsia="zh-CN"/>
              </w:rPr>
            </w:pPr>
            <w:r>
              <w:rPr>
                <w:rFonts w:hint="eastAsia" w:cs="宋体" w:asciiTheme="minorEastAsia" w:hAnsiTheme="minorEastAsia"/>
                <w:sz w:val="22"/>
              </w:rPr>
              <w:t>售后服务方案</w:t>
            </w:r>
            <w:r>
              <w:rPr>
                <w:rFonts w:hint="eastAsia" w:cs="宋体" w:asciiTheme="minorEastAsia" w:hAnsiTheme="minorEastAsia"/>
                <w:sz w:val="22"/>
                <w:lang w:val="en-US" w:eastAsia="zh-CN"/>
              </w:rPr>
              <w:t xml:space="preserve">   </w:t>
            </w:r>
            <w:r>
              <w:rPr>
                <w:rFonts w:hint="eastAsia" w:cs="宋体" w:asciiTheme="minorEastAsia" w:hAnsiTheme="minorEastAsia"/>
                <w:sz w:val="22"/>
                <w:lang w:eastAsia="zh-CN"/>
              </w:rPr>
              <w:t>（</w:t>
            </w:r>
            <w:r>
              <w:rPr>
                <w:rFonts w:hint="eastAsia" w:cs="宋体" w:asciiTheme="minorEastAsia" w:hAnsiTheme="minorEastAsia"/>
                <w:sz w:val="22"/>
                <w:lang w:val="en-US" w:eastAsia="zh-CN"/>
              </w:rPr>
              <w:t>5</w:t>
            </w:r>
            <w:r>
              <w:rPr>
                <w:rFonts w:hint="eastAsia" w:cs="宋体" w:asciiTheme="minorEastAsia" w:hAnsiTheme="minorEastAsia"/>
                <w:sz w:val="22"/>
                <w:lang w:eastAsia="zh-CN"/>
              </w:rPr>
              <w:t>分）</w:t>
            </w:r>
          </w:p>
        </w:tc>
        <w:tc>
          <w:tcPr>
            <w:tcW w:w="6935" w:type="dxa"/>
            <w:vAlign w:val="center"/>
          </w:tcPr>
          <w:p>
            <w:pPr>
              <w:jc w:val="left"/>
              <w:rPr>
                <w:rFonts w:hint="eastAsia" w:asciiTheme="minorEastAsia" w:hAnsiTheme="minorEastAsia" w:cstheme="minorEastAsia"/>
                <w:color w:val="auto"/>
                <w:szCs w:val="21"/>
                <w:shd w:val="clear" w:color="auto" w:fill="FFFFFF"/>
                <w:lang w:eastAsia="zh-CN"/>
              </w:rPr>
            </w:pPr>
            <w:r>
              <w:rPr>
                <w:rFonts w:hint="eastAsia" w:cs="宋体" w:asciiTheme="minorEastAsia" w:hAnsiTheme="minorEastAsia"/>
                <w:sz w:val="22"/>
              </w:rPr>
              <w:t>由专家根据各投标单位的方案</w:t>
            </w:r>
            <w:r>
              <w:rPr>
                <w:rFonts w:hint="eastAsia" w:cs="宋体" w:asciiTheme="minorEastAsia" w:hAnsiTheme="minorEastAsia"/>
                <w:sz w:val="22"/>
                <w:lang w:eastAsia="zh-CN"/>
              </w:rPr>
              <w:t>，根据本地化服务、免费培训、技术支持、</w:t>
            </w:r>
            <w:r>
              <w:rPr>
                <w:rFonts w:hint="eastAsia" w:cs="宋体" w:asciiTheme="minorEastAsia" w:hAnsiTheme="minorEastAsia"/>
                <w:sz w:val="22"/>
              </w:rPr>
              <w:t>售后服务方式、响应时间、故障处理等因素进行酌情打分0-</w:t>
            </w:r>
            <w:r>
              <w:rPr>
                <w:rFonts w:hint="eastAsia" w:cs="宋体" w:asciiTheme="minorEastAsia" w:hAnsiTheme="minorEastAsia"/>
                <w:sz w:val="22"/>
                <w:lang w:val="en-US" w:eastAsia="zh-CN"/>
              </w:rPr>
              <w:t>5</w:t>
            </w:r>
            <w:r>
              <w:rPr>
                <w:rFonts w:hint="eastAsia" w:cs="宋体" w:asciiTheme="minorEastAsia" w:hAnsiTheme="minorEastAsia"/>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509" w:type="dxa"/>
            <w:gridSpan w:val="2"/>
            <w:vAlign w:val="center"/>
          </w:tcPr>
          <w:p>
            <w:pPr>
              <w:rPr>
                <w:rFonts w:hint="eastAsia" w:asciiTheme="minorEastAsia" w:hAnsiTheme="minorEastAsia" w:cstheme="minorEastAsia"/>
                <w:color w:val="auto"/>
                <w:szCs w:val="21"/>
                <w:shd w:val="clear" w:color="auto" w:fill="FFFFFF"/>
              </w:rPr>
            </w:pPr>
            <w:r>
              <w:rPr>
                <w:rFonts w:hint="eastAsia" w:asciiTheme="minorEastAsia" w:hAnsiTheme="minorEastAsia" w:cstheme="minorEastAsia"/>
                <w:color w:val="auto"/>
                <w:szCs w:val="21"/>
                <w:shd w:val="clear" w:color="auto" w:fill="FFFFFF"/>
              </w:rPr>
              <w:t>合计</w:t>
            </w:r>
          </w:p>
        </w:tc>
        <w:tc>
          <w:tcPr>
            <w:tcW w:w="6935" w:type="dxa"/>
            <w:vAlign w:val="center"/>
          </w:tcPr>
          <w:p>
            <w:pPr>
              <w:rPr>
                <w:rFonts w:hint="eastAsia" w:asciiTheme="minorEastAsia" w:hAnsiTheme="minorEastAsia" w:cstheme="minorEastAsia"/>
                <w:color w:val="auto"/>
                <w:szCs w:val="21"/>
                <w:shd w:val="clear" w:color="auto" w:fill="FFFFFF"/>
              </w:rPr>
            </w:pPr>
            <w:r>
              <w:rPr>
                <w:rFonts w:hint="eastAsia" w:asciiTheme="minorEastAsia" w:hAnsiTheme="minorEastAsia" w:cstheme="minorEastAsia"/>
                <w:color w:val="auto"/>
                <w:szCs w:val="21"/>
                <w:shd w:val="clear" w:color="auto" w:fill="FFFFFF"/>
              </w:rPr>
              <w:t>100分</w:t>
            </w:r>
          </w:p>
        </w:tc>
      </w:tr>
    </w:tbl>
    <w:p>
      <w:pPr>
        <w:pStyle w:val="14"/>
        <w:widowControl/>
        <w:ind w:left="1170" w:firstLine="0" w:firstLineChars="0"/>
        <w:rPr>
          <w:rFonts w:cs="Helvetica" w:asciiTheme="minorEastAsia" w:hAnsiTheme="minorEastAsia"/>
          <w:b/>
          <w:color w:val="333333"/>
          <w:sz w:val="28"/>
          <w:szCs w:val="28"/>
        </w:rPr>
      </w:pPr>
    </w:p>
    <w:bookmarkEnd w:id="2"/>
    <w:bookmarkEnd w:id="3"/>
    <w:bookmarkEnd w:id="4"/>
    <w:bookmarkEnd w:id="5"/>
    <w:bookmarkEnd w:id="6"/>
    <w:bookmarkEnd w:id="7"/>
    <w:bookmarkEnd w:id="8"/>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4"/>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r>
        <w:rPr>
          <w:rFonts w:hint="eastAsia"/>
          <w:sz w:val="24"/>
          <w:szCs w:val="24"/>
        </w:rPr>
        <w:t xml:space="preserve">                             日期：     年   月   日</w:t>
      </w:r>
    </w:p>
    <w:p>
      <w:pPr>
        <w:pStyle w:val="14"/>
        <w:ind w:left="720" w:firstLine="480"/>
        <w:rPr>
          <w:sz w:val="24"/>
          <w:szCs w:val="24"/>
        </w:rPr>
      </w:pPr>
    </w:p>
    <w:p>
      <w:pPr>
        <w:pStyle w:val="14"/>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4"/>
        <w:ind w:left="720" w:firstLine="562"/>
        <w:jc w:val="center"/>
        <w:rPr>
          <w:b/>
          <w:sz w:val="28"/>
          <w:szCs w:val="28"/>
        </w:rPr>
      </w:pPr>
      <w:r>
        <w:rPr>
          <w:rFonts w:hint="eastAsia"/>
          <w:b/>
          <w:sz w:val="28"/>
          <w:szCs w:val="28"/>
        </w:rPr>
        <w:t>法定代表人授权委托书</w:t>
      </w:r>
    </w:p>
    <w:p>
      <w:pPr>
        <w:pStyle w:val="14"/>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4"/>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代理人：          性别：          年龄：</w:t>
      </w:r>
    </w:p>
    <w:p>
      <w:pPr>
        <w:pStyle w:val="14"/>
        <w:spacing w:line="360" w:lineRule="auto"/>
        <w:ind w:left="720" w:firstLine="480"/>
        <w:rPr>
          <w:sz w:val="24"/>
          <w:szCs w:val="24"/>
        </w:rPr>
      </w:pPr>
      <w:r>
        <w:rPr>
          <w:rFonts w:hint="eastAsia"/>
          <w:sz w:val="24"/>
          <w:szCs w:val="24"/>
        </w:rPr>
        <w:t>单位：            部门：          职务：</w:t>
      </w:r>
    </w:p>
    <w:p>
      <w:pPr>
        <w:pStyle w:val="14"/>
        <w:spacing w:line="360" w:lineRule="auto"/>
        <w:ind w:left="720" w:firstLine="480"/>
        <w:rPr>
          <w:sz w:val="24"/>
          <w:szCs w:val="24"/>
        </w:rPr>
      </w:pPr>
      <w:r>
        <w:rPr>
          <w:rFonts w:hint="eastAsia"/>
          <w:sz w:val="24"/>
          <w:szCs w:val="24"/>
        </w:rPr>
        <w:t>代理人无转委托权。特此委托。</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投标单位：（盖章）</w:t>
      </w:r>
    </w:p>
    <w:p>
      <w:pPr>
        <w:pStyle w:val="14"/>
        <w:spacing w:line="360" w:lineRule="auto"/>
        <w:ind w:left="720" w:firstLine="480"/>
        <w:rPr>
          <w:sz w:val="24"/>
          <w:szCs w:val="24"/>
        </w:rPr>
      </w:pPr>
      <w:r>
        <w:rPr>
          <w:rFonts w:hint="eastAsia"/>
          <w:sz w:val="24"/>
          <w:szCs w:val="24"/>
        </w:rPr>
        <w:t>法定代表人签字：</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法定代表人身份证复印件（正反面）</w:t>
      </w:r>
    </w:p>
    <w:p>
      <w:pPr>
        <w:pStyle w:val="14"/>
        <w:spacing w:line="360" w:lineRule="auto"/>
        <w:ind w:left="720" w:firstLine="480"/>
        <w:rPr>
          <w:sz w:val="24"/>
          <w:szCs w:val="24"/>
        </w:rPr>
      </w:pPr>
      <w:r>
        <w:rPr>
          <w:rFonts w:hint="eastAsia"/>
          <w:sz w:val="24"/>
          <w:szCs w:val="24"/>
        </w:rPr>
        <w:t>授权代理人身份证复印件（正反面）</w:t>
      </w:r>
    </w:p>
    <w:p>
      <w:pPr>
        <w:pStyle w:val="14"/>
        <w:spacing w:line="360" w:lineRule="auto"/>
        <w:ind w:left="720" w:firstLine="480"/>
        <w:rPr>
          <w:sz w:val="24"/>
          <w:szCs w:val="24"/>
        </w:rPr>
      </w:pPr>
    </w:p>
    <w:p>
      <w:pPr>
        <w:pStyle w:val="14"/>
        <w:spacing w:line="360" w:lineRule="auto"/>
        <w:ind w:left="720" w:firstLine="480"/>
        <w:rPr>
          <w:sz w:val="24"/>
          <w:szCs w:val="24"/>
        </w:rPr>
      </w:pPr>
    </w:p>
    <w:p>
      <w:pPr>
        <w:pStyle w:val="14"/>
        <w:spacing w:line="360" w:lineRule="auto"/>
        <w:ind w:left="720" w:firstLine="480"/>
        <w:rPr>
          <w:sz w:val="24"/>
          <w:szCs w:val="24"/>
        </w:rPr>
      </w:pPr>
    </w:p>
    <w:p>
      <w:pPr>
        <w:pStyle w:val="14"/>
        <w:ind w:left="720" w:firstLine="480"/>
        <w:rPr>
          <w:sz w:val="24"/>
          <w:szCs w:val="24"/>
        </w:rPr>
      </w:pPr>
    </w:p>
    <w:p>
      <w:pPr>
        <w:pStyle w:val="14"/>
        <w:ind w:left="720" w:firstLine="480"/>
        <w:jc w:val="right"/>
        <w:rPr>
          <w:sz w:val="24"/>
          <w:szCs w:val="24"/>
        </w:rPr>
      </w:pPr>
      <w:r>
        <w:rPr>
          <w:rFonts w:hint="eastAsia"/>
          <w:sz w:val="24"/>
          <w:szCs w:val="24"/>
        </w:rPr>
        <w:t xml:space="preserve">日期：     年   月   日           </w:t>
      </w:r>
    </w:p>
    <w:p>
      <w:pPr>
        <w:pStyle w:val="14"/>
        <w:ind w:left="720" w:firstLine="480"/>
        <w:rPr>
          <w:sz w:val="24"/>
          <w:szCs w:val="24"/>
        </w:rPr>
      </w:pPr>
    </w:p>
    <w:p>
      <w:pPr>
        <w:pStyle w:val="14"/>
        <w:ind w:left="720" w:firstLine="480"/>
        <w:rPr>
          <w:sz w:val="24"/>
          <w:szCs w:val="24"/>
        </w:rPr>
      </w:pPr>
    </w:p>
    <w:p>
      <w:pPr>
        <w:pStyle w:val="14"/>
        <w:ind w:left="720" w:firstLine="560"/>
        <w:rPr>
          <w:sz w:val="28"/>
          <w:szCs w:val="28"/>
        </w:rPr>
      </w:pPr>
    </w:p>
    <w:p>
      <w:pPr>
        <w:pStyle w:val="14"/>
        <w:ind w:left="720" w:firstLine="560"/>
        <w:rPr>
          <w:rFonts w:hint="eastAsia"/>
          <w:sz w:val="28"/>
          <w:szCs w:val="28"/>
        </w:rPr>
      </w:pPr>
    </w:p>
    <w:p>
      <w:pPr>
        <w:pStyle w:val="14"/>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9"/>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工程质保期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4"/>
        <w:spacing w:line="360" w:lineRule="auto"/>
        <w:ind w:left="720" w:firstLine="560"/>
        <w:rPr>
          <w:sz w:val="28"/>
          <w:szCs w:val="28"/>
        </w:rPr>
      </w:pPr>
    </w:p>
    <w:p>
      <w:pPr>
        <w:pStyle w:val="14"/>
        <w:spacing w:line="360" w:lineRule="auto"/>
        <w:ind w:left="720" w:firstLine="560"/>
        <w:rPr>
          <w:sz w:val="28"/>
          <w:szCs w:val="28"/>
        </w:rPr>
      </w:pPr>
    </w:p>
    <w:p>
      <w:pPr>
        <w:pStyle w:val="14"/>
        <w:spacing w:line="360" w:lineRule="auto"/>
        <w:ind w:left="720" w:firstLine="560"/>
        <w:rPr>
          <w:rFonts w:hint="eastAsia"/>
          <w:sz w:val="28"/>
          <w:szCs w:val="28"/>
        </w:rPr>
      </w:pPr>
    </w:p>
    <w:p>
      <w:pPr>
        <w:pStyle w:val="14"/>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sz w:val="28"/>
          <w:szCs w:val="28"/>
        </w:rPr>
      </w:pPr>
    </w:p>
    <w:p>
      <w:pPr>
        <w:ind w:firstLine="422" w:firstLineChars="150"/>
        <w:jc w:val="center"/>
        <w:rPr>
          <w:b/>
          <w:sz w:val="28"/>
          <w:szCs w:val="28"/>
        </w:rPr>
      </w:pPr>
      <w:r>
        <w:rPr>
          <w:rFonts w:hint="eastAsia"/>
          <w:b/>
          <w:sz w:val="28"/>
          <w:szCs w:val="28"/>
        </w:rPr>
        <w:t>工程量清单报价表</w:t>
      </w:r>
    </w:p>
    <w:p>
      <w:pPr>
        <w:spacing w:line="520" w:lineRule="exact"/>
        <w:ind w:firstLine="560" w:firstLineChars="200"/>
        <w:rPr>
          <w:sz w:val="28"/>
          <w:szCs w:val="28"/>
        </w:rPr>
      </w:pPr>
      <w:r>
        <w:rPr>
          <w:rFonts w:hint="eastAsia"/>
          <w:sz w:val="28"/>
          <w:szCs w:val="28"/>
        </w:rPr>
        <w:t>供应商</w:t>
      </w:r>
      <w:r>
        <w:rPr>
          <w:sz w:val="28"/>
          <w:szCs w:val="28"/>
        </w:rPr>
        <w:t>必须</w:t>
      </w:r>
      <w:r>
        <w:rPr>
          <w:rFonts w:hint="eastAsia"/>
          <w:sz w:val="28"/>
          <w:szCs w:val="28"/>
          <w:lang w:val="en-US" w:eastAsia="zh-CN"/>
        </w:rPr>
        <w:t>按照改造</w:t>
      </w:r>
      <w:r>
        <w:rPr>
          <w:sz w:val="28"/>
          <w:szCs w:val="28"/>
        </w:rPr>
        <w:t>清单报价。如果表中所列内容无法满足</w:t>
      </w:r>
      <w:r>
        <w:rPr>
          <w:rFonts w:hint="eastAsia"/>
          <w:sz w:val="28"/>
          <w:szCs w:val="28"/>
        </w:rPr>
        <w:t>磋商</w:t>
      </w:r>
      <w:r>
        <w:rPr>
          <w:sz w:val="28"/>
          <w:szCs w:val="28"/>
        </w:rPr>
        <w:t>文件中提出的要求或者与</w:t>
      </w:r>
      <w:r>
        <w:rPr>
          <w:rFonts w:hint="eastAsia"/>
          <w:sz w:val="28"/>
          <w:szCs w:val="28"/>
        </w:rPr>
        <w:t>供应商</w:t>
      </w:r>
      <w:r>
        <w:rPr>
          <w:sz w:val="28"/>
          <w:szCs w:val="28"/>
        </w:rPr>
        <w:t>在技术文件中提供的内容不一致，投标有可能被拒绝。</w:t>
      </w:r>
    </w:p>
    <w:p>
      <w:pPr>
        <w:ind w:firstLine="562" w:firstLineChars="200"/>
        <w:rPr>
          <w:sz w:val="28"/>
          <w:szCs w:val="28"/>
        </w:rPr>
      </w:pPr>
      <w:r>
        <w:rPr>
          <w:rFonts w:hint="eastAsia"/>
          <w:b/>
          <w:sz w:val="28"/>
          <w:szCs w:val="28"/>
        </w:rPr>
        <w:t>均须标明品牌</w:t>
      </w:r>
      <w:r>
        <w:rPr>
          <w:rFonts w:hint="eastAsia"/>
          <w:sz w:val="28"/>
          <w:szCs w:val="28"/>
        </w:rPr>
        <w:t>，否则将可能作为非实质性响应投标予以拒绝。</w:t>
      </w: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ind w:firstLine="420" w:firstLineChars="150"/>
        <w:jc w:val="left"/>
        <w:rPr>
          <w:sz w:val="28"/>
          <w:szCs w:val="28"/>
        </w:rPr>
      </w:pPr>
      <w:r>
        <w:rPr>
          <w:rFonts w:hint="eastAsia"/>
          <w:sz w:val="28"/>
          <w:szCs w:val="28"/>
        </w:rPr>
        <w:t>附件六</w:t>
      </w:r>
    </w:p>
    <w:p>
      <w:pPr>
        <w:pStyle w:val="14"/>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4"/>
        <w:ind w:left="720" w:firstLine="562"/>
        <w:jc w:val="center"/>
        <w:rPr>
          <w:b/>
          <w:sz w:val="28"/>
          <w:szCs w:val="28"/>
        </w:rPr>
      </w:pPr>
      <w:r>
        <w:rPr>
          <w:rFonts w:hint="eastAsia"/>
          <w:b/>
          <w:sz w:val="28"/>
          <w:szCs w:val="28"/>
        </w:rPr>
        <w:t>（201</w:t>
      </w:r>
      <w:r>
        <w:rPr>
          <w:rFonts w:hint="eastAsia"/>
          <w:b/>
          <w:sz w:val="28"/>
          <w:szCs w:val="28"/>
          <w:lang w:val="en-US" w:eastAsia="zh-CN"/>
        </w:rPr>
        <w:t>9</w:t>
      </w:r>
      <w:r>
        <w:rPr>
          <w:rFonts w:hint="eastAsia"/>
          <w:b/>
          <w:sz w:val="28"/>
          <w:szCs w:val="28"/>
        </w:rPr>
        <w:t>年</w:t>
      </w:r>
      <w:r>
        <w:rPr>
          <w:rFonts w:hint="eastAsia"/>
          <w:b/>
          <w:sz w:val="28"/>
          <w:szCs w:val="28"/>
          <w:lang w:val="en-US" w:eastAsia="zh-CN"/>
        </w:rPr>
        <w:t>1</w:t>
      </w:r>
      <w:r>
        <w:rPr>
          <w:rFonts w:hint="eastAsia"/>
          <w:b/>
          <w:sz w:val="28"/>
          <w:szCs w:val="28"/>
        </w:rPr>
        <w:t>月1日至今）</w:t>
      </w:r>
    </w:p>
    <w:tbl>
      <w:tblPr>
        <w:tblStyle w:val="10"/>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4"/>
        <w:ind w:left="720" w:firstLine="562"/>
        <w:jc w:val="center"/>
        <w:rPr>
          <w:b/>
          <w:sz w:val="28"/>
          <w:szCs w:val="28"/>
        </w:rPr>
      </w:pPr>
      <w:r>
        <w:rPr>
          <w:rFonts w:hint="eastAsia"/>
          <w:b/>
          <w:sz w:val="28"/>
          <w:szCs w:val="28"/>
        </w:rPr>
        <w:t>无违规违法声明</w:t>
      </w:r>
    </w:p>
    <w:p>
      <w:pPr>
        <w:pStyle w:val="14"/>
        <w:ind w:left="720" w:firstLine="560"/>
        <w:rPr>
          <w:sz w:val="28"/>
          <w:szCs w:val="28"/>
        </w:rPr>
      </w:pPr>
    </w:p>
    <w:p>
      <w:pPr>
        <w:ind w:firstLine="560" w:firstLineChars="200"/>
        <w:rPr>
          <w:sz w:val="28"/>
          <w:szCs w:val="28"/>
        </w:rPr>
      </w:pPr>
      <w:r>
        <w:rPr>
          <w:rFonts w:hint="eastAsia"/>
          <w:sz w:val="28"/>
          <w:szCs w:val="28"/>
        </w:rPr>
        <w:t>（采购人）：</w:t>
      </w:r>
    </w:p>
    <w:p>
      <w:pPr>
        <w:pStyle w:val="14"/>
        <w:ind w:left="720" w:firstLine="560"/>
        <w:rPr>
          <w:sz w:val="28"/>
          <w:szCs w:val="28"/>
        </w:rPr>
      </w:pPr>
      <w:r>
        <w:rPr>
          <w:rFonts w:hint="eastAsia"/>
          <w:sz w:val="28"/>
          <w:szCs w:val="28"/>
        </w:rPr>
        <w:t>我公司承诺参加本次招标采购活动 3年内在经营活动中没有重大违法记录。</w:t>
      </w:r>
    </w:p>
    <w:p>
      <w:pPr>
        <w:pStyle w:val="14"/>
        <w:ind w:left="720" w:firstLine="560"/>
        <w:rPr>
          <w:sz w:val="28"/>
          <w:szCs w:val="28"/>
        </w:rPr>
      </w:pPr>
      <w:r>
        <w:rPr>
          <w:rFonts w:hint="eastAsia"/>
          <w:sz w:val="28"/>
          <w:szCs w:val="28"/>
        </w:rPr>
        <w:t>特此声明。</w:t>
      </w:r>
    </w:p>
    <w:p>
      <w:pPr>
        <w:pStyle w:val="14"/>
        <w:ind w:left="720" w:firstLine="560"/>
        <w:rPr>
          <w:sz w:val="28"/>
          <w:szCs w:val="28"/>
        </w:rPr>
      </w:pPr>
      <w:r>
        <w:rPr>
          <w:rFonts w:hint="eastAsia"/>
          <w:sz w:val="28"/>
          <w:szCs w:val="28"/>
        </w:rPr>
        <w:t>如果以上声明不真实，我方承担虚假响应的责任，中标无效，并按法律、法规的规定接受处罚。</w:t>
      </w:r>
    </w:p>
    <w:p>
      <w:pPr>
        <w:pStyle w:val="14"/>
        <w:ind w:left="720" w:firstLine="560"/>
        <w:rPr>
          <w:sz w:val="28"/>
          <w:szCs w:val="28"/>
        </w:rPr>
      </w:pPr>
    </w:p>
    <w:p>
      <w:pPr>
        <w:pStyle w:val="14"/>
        <w:ind w:left="720" w:firstLine="560"/>
        <w:rPr>
          <w:sz w:val="28"/>
          <w:szCs w:val="28"/>
        </w:rPr>
      </w:pPr>
      <w:r>
        <w:rPr>
          <w:rFonts w:hint="eastAsia"/>
          <w:sz w:val="28"/>
          <w:szCs w:val="28"/>
        </w:rPr>
        <w:t>供应商全称：（盖单位公章）</w:t>
      </w:r>
    </w:p>
    <w:p>
      <w:pPr>
        <w:pStyle w:val="14"/>
        <w:ind w:left="720" w:firstLine="560"/>
        <w:rPr>
          <w:sz w:val="28"/>
          <w:szCs w:val="28"/>
        </w:rPr>
      </w:pPr>
    </w:p>
    <w:p>
      <w:pPr>
        <w:pStyle w:val="14"/>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4"/>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4"/>
        <w:ind w:left="720" w:firstLine="560"/>
        <w:rPr>
          <w:sz w:val="28"/>
          <w:szCs w:val="28"/>
        </w:rPr>
      </w:pPr>
      <w:r>
        <w:rPr>
          <w:rFonts w:hint="eastAsia"/>
          <w:sz w:val="28"/>
          <w:szCs w:val="28"/>
        </w:rPr>
        <w:t>本单位郑重承诺，我单位无以下不良信用记录情形：</w:t>
      </w:r>
    </w:p>
    <w:p>
      <w:pPr>
        <w:pStyle w:val="14"/>
        <w:ind w:left="720" w:firstLine="560"/>
        <w:rPr>
          <w:sz w:val="28"/>
          <w:szCs w:val="28"/>
        </w:rPr>
      </w:pPr>
      <w:r>
        <w:rPr>
          <w:rFonts w:hint="eastAsia"/>
          <w:sz w:val="28"/>
          <w:szCs w:val="28"/>
        </w:rPr>
        <w:t>1、被人民法院列入失信被执行人；</w:t>
      </w:r>
    </w:p>
    <w:p>
      <w:pPr>
        <w:pStyle w:val="14"/>
        <w:ind w:left="720" w:firstLine="560"/>
        <w:rPr>
          <w:sz w:val="28"/>
          <w:szCs w:val="28"/>
        </w:rPr>
      </w:pPr>
      <w:r>
        <w:rPr>
          <w:rFonts w:hint="eastAsia"/>
          <w:sz w:val="28"/>
          <w:szCs w:val="28"/>
        </w:rPr>
        <w:t>2、被税务部门列入重大税收违法案件当事人名单；</w:t>
      </w:r>
    </w:p>
    <w:p>
      <w:pPr>
        <w:pStyle w:val="14"/>
        <w:ind w:left="720" w:firstLine="560"/>
        <w:rPr>
          <w:sz w:val="28"/>
          <w:szCs w:val="28"/>
        </w:rPr>
      </w:pPr>
      <w:r>
        <w:rPr>
          <w:rFonts w:hint="eastAsia"/>
          <w:sz w:val="28"/>
          <w:szCs w:val="28"/>
        </w:rPr>
        <w:t>3、被政府采购监管部门列入政府采购严重违法失信行为记录名单；</w:t>
      </w:r>
    </w:p>
    <w:p>
      <w:pPr>
        <w:pStyle w:val="14"/>
        <w:ind w:left="720" w:firstLine="560"/>
        <w:rPr>
          <w:sz w:val="28"/>
          <w:szCs w:val="28"/>
        </w:rPr>
      </w:pPr>
      <w:r>
        <w:rPr>
          <w:rFonts w:hint="eastAsia"/>
          <w:sz w:val="28"/>
          <w:szCs w:val="28"/>
        </w:rPr>
        <w:t>4、不符合政府采购法第二十二条规定的条件。</w:t>
      </w:r>
    </w:p>
    <w:p>
      <w:pPr>
        <w:pStyle w:val="14"/>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4"/>
        <w:ind w:left="720" w:firstLine="560"/>
        <w:rPr>
          <w:sz w:val="28"/>
          <w:szCs w:val="28"/>
        </w:rPr>
      </w:pPr>
      <w:r>
        <w:rPr>
          <w:rFonts w:hint="eastAsia"/>
          <w:sz w:val="28"/>
          <w:szCs w:val="28"/>
        </w:rPr>
        <w:t>供应商全称：（盖单位公章）</w:t>
      </w:r>
    </w:p>
    <w:p>
      <w:pPr>
        <w:pStyle w:val="14"/>
        <w:ind w:left="720" w:firstLine="560"/>
        <w:rPr>
          <w:sz w:val="28"/>
          <w:szCs w:val="28"/>
        </w:rPr>
      </w:pPr>
    </w:p>
    <w:p>
      <w:pPr>
        <w:pStyle w:val="14"/>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附件九：</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9"/>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3"/>
        <w:ind w:left="0" w:leftChars="0"/>
        <w:jc w:val="center"/>
        <w:rPr>
          <w:rFonts w:ascii="宋体" w:hAnsi="宋体"/>
          <w:color w:val="000000"/>
        </w:rPr>
      </w:pPr>
      <w:r>
        <w:rPr>
          <w:rFonts w:hint="eastAsia" w:ascii="宋体" w:hAnsi="宋体"/>
          <w:b/>
          <w:color w:val="000000"/>
          <w:sz w:val="32"/>
          <w:szCs w:val="32"/>
        </w:rPr>
        <w:t>封面格式：</w:t>
      </w:r>
    </w:p>
    <w:tbl>
      <w:tblPr>
        <w:tblStyle w:val="9"/>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3"/>
              <w:ind w:firstLine="470"/>
              <w:jc w:val="left"/>
              <w:rPr>
                <w:rFonts w:ascii="宋体" w:hAnsi="宋体"/>
                <w:color w:val="000000"/>
              </w:rPr>
            </w:pPr>
          </w:p>
          <w:p>
            <w:pPr>
              <w:pStyle w:val="3"/>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3"/>
              <w:ind w:left="0" w:leftChars="0"/>
              <w:jc w:val="center"/>
              <w:rPr>
                <w:rFonts w:ascii="宋体" w:hAnsi="宋体"/>
                <w:b/>
                <w:color w:val="000000"/>
                <w:sz w:val="32"/>
                <w:szCs w:val="32"/>
              </w:rPr>
            </w:pPr>
            <w:r>
              <w:rPr>
                <w:rFonts w:hint="eastAsia" w:ascii="宋体" w:hAnsi="宋体"/>
                <w:b/>
                <w:color w:val="000000"/>
                <w:sz w:val="32"/>
                <w:szCs w:val="32"/>
              </w:rPr>
              <w:t>（正本）</w:t>
            </w:r>
          </w:p>
          <w:p>
            <w:pPr>
              <w:pStyle w:val="3"/>
              <w:ind w:left="0" w:leftChars="0"/>
              <w:jc w:val="left"/>
              <w:rPr>
                <w:rFonts w:ascii="宋体" w:hAnsi="宋体"/>
                <w:color w:val="000000"/>
              </w:rPr>
            </w:pPr>
            <w:r>
              <w:rPr>
                <w:rFonts w:hint="eastAsia" w:ascii="宋体" w:hAnsi="宋体"/>
                <w:color w:val="000000"/>
              </w:rPr>
              <w:t>项目编号：</w:t>
            </w:r>
          </w:p>
          <w:p>
            <w:pPr>
              <w:pStyle w:val="3"/>
              <w:ind w:left="0" w:leftChars="0"/>
              <w:jc w:val="left"/>
              <w:rPr>
                <w:rFonts w:ascii="宋体" w:hAnsi="宋体"/>
                <w:color w:val="000000"/>
              </w:rPr>
            </w:pPr>
            <w:r>
              <w:rPr>
                <w:rFonts w:hint="eastAsia" w:ascii="宋体" w:hAnsi="宋体"/>
                <w:color w:val="000000"/>
              </w:rPr>
              <w:t>项目名称：</w:t>
            </w:r>
          </w:p>
          <w:p>
            <w:pPr>
              <w:pStyle w:val="3"/>
              <w:ind w:left="0" w:leftChars="0"/>
              <w:jc w:val="left"/>
              <w:rPr>
                <w:rFonts w:ascii="宋体" w:hAnsi="宋体"/>
                <w:color w:val="000000"/>
              </w:rPr>
            </w:pPr>
            <w:r>
              <w:rPr>
                <w:rFonts w:hint="eastAsia" w:ascii="宋体" w:hAnsi="宋体"/>
                <w:color w:val="000000"/>
              </w:rPr>
              <w:t>所报包号：</w:t>
            </w:r>
          </w:p>
          <w:p>
            <w:pPr>
              <w:pStyle w:val="3"/>
              <w:ind w:left="0" w:leftChars="0"/>
              <w:jc w:val="left"/>
              <w:rPr>
                <w:rFonts w:ascii="宋体" w:hAnsi="宋体"/>
                <w:color w:val="000000"/>
              </w:rPr>
            </w:pPr>
            <w:r>
              <w:rPr>
                <w:rFonts w:hint="eastAsia" w:ascii="宋体" w:hAnsi="宋体"/>
                <w:color w:val="000000"/>
              </w:rPr>
              <w:t>供应商名称（公章）：</w:t>
            </w:r>
          </w:p>
          <w:p>
            <w:pPr>
              <w:pStyle w:val="3"/>
              <w:ind w:left="0" w:leftChars="0"/>
              <w:jc w:val="left"/>
              <w:rPr>
                <w:rFonts w:ascii="宋体" w:hAnsi="宋体"/>
                <w:color w:val="000000"/>
              </w:rPr>
            </w:pPr>
            <w:r>
              <w:rPr>
                <w:rFonts w:hint="eastAsia" w:ascii="宋体" w:hAnsi="宋体"/>
                <w:color w:val="000000"/>
              </w:rPr>
              <w:t>地址：</w:t>
            </w:r>
          </w:p>
          <w:p>
            <w:pPr>
              <w:pStyle w:val="3"/>
              <w:ind w:left="0" w:leftChars="0"/>
              <w:jc w:val="left"/>
              <w:rPr>
                <w:rFonts w:ascii="宋体" w:hAnsi="宋体"/>
                <w:color w:val="000000"/>
              </w:rPr>
            </w:pPr>
            <w:r>
              <w:rPr>
                <w:rFonts w:hint="eastAsia" w:ascii="宋体" w:hAnsi="宋体"/>
                <w:color w:val="000000"/>
              </w:rPr>
              <w:t>邮编：</w:t>
            </w:r>
          </w:p>
          <w:p>
            <w:pPr>
              <w:pStyle w:val="3"/>
              <w:ind w:left="0" w:leftChars="0"/>
              <w:jc w:val="left"/>
              <w:rPr>
                <w:rFonts w:ascii="宋体" w:hAnsi="宋体"/>
                <w:color w:val="000000"/>
              </w:rPr>
            </w:pPr>
            <w:r>
              <w:rPr>
                <w:rFonts w:hint="eastAsia" w:ascii="宋体" w:hAnsi="宋体"/>
                <w:color w:val="000000"/>
              </w:rPr>
              <w:t>电话：</w:t>
            </w:r>
          </w:p>
          <w:p>
            <w:pPr>
              <w:pStyle w:val="3"/>
              <w:ind w:left="0" w:leftChars="0"/>
              <w:jc w:val="left"/>
              <w:rPr>
                <w:rFonts w:ascii="宋体" w:hAnsi="宋体"/>
                <w:color w:val="000000"/>
              </w:rPr>
            </w:pPr>
            <w:r>
              <w:rPr>
                <w:rFonts w:hint="eastAsia" w:ascii="宋体" w:hAnsi="宋体"/>
                <w:color w:val="000000"/>
              </w:rPr>
              <w:t>传真：</w:t>
            </w:r>
          </w:p>
          <w:p>
            <w:pPr>
              <w:pStyle w:val="3"/>
              <w:ind w:left="1588" w:leftChars="756" w:firstLine="378" w:firstLineChars="180"/>
              <w:jc w:val="left"/>
              <w:rPr>
                <w:rFonts w:ascii="宋体" w:hAnsi="宋体"/>
                <w:color w:val="000000"/>
              </w:rPr>
            </w:pPr>
          </w:p>
        </w:tc>
        <w:tc>
          <w:tcPr>
            <w:tcW w:w="4665" w:type="dxa"/>
          </w:tcPr>
          <w:p>
            <w:pPr>
              <w:pStyle w:val="3"/>
              <w:ind w:firstLine="470"/>
              <w:jc w:val="left"/>
              <w:rPr>
                <w:rFonts w:ascii="宋体" w:hAnsi="宋体"/>
                <w:color w:val="000000"/>
              </w:rPr>
            </w:pPr>
          </w:p>
          <w:p>
            <w:pPr>
              <w:pStyle w:val="3"/>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3"/>
              <w:ind w:left="0" w:leftChars="0"/>
              <w:jc w:val="center"/>
              <w:rPr>
                <w:rFonts w:ascii="宋体" w:hAnsi="宋体"/>
                <w:b/>
                <w:color w:val="000000"/>
                <w:sz w:val="32"/>
                <w:szCs w:val="32"/>
              </w:rPr>
            </w:pPr>
            <w:r>
              <w:rPr>
                <w:rFonts w:hint="eastAsia" w:ascii="宋体" w:hAnsi="宋体"/>
                <w:b/>
                <w:color w:val="000000"/>
                <w:sz w:val="32"/>
                <w:szCs w:val="32"/>
              </w:rPr>
              <w:t>（副本）</w:t>
            </w:r>
          </w:p>
          <w:p>
            <w:pPr>
              <w:pStyle w:val="3"/>
              <w:ind w:left="0" w:leftChars="0"/>
              <w:jc w:val="left"/>
              <w:rPr>
                <w:rFonts w:ascii="宋体" w:hAnsi="宋体"/>
                <w:color w:val="000000"/>
              </w:rPr>
            </w:pPr>
            <w:r>
              <w:rPr>
                <w:rFonts w:hint="eastAsia" w:ascii="宋体" w:hAnsi="宋体"/>
                <w:color w:val="000000"/>
              </w:rPr>
              <w:t>项目编号：</w:t>
            </w:r>
          </w:p>
          <w:p>
            <w:pPr>
              <w:pStyle w:val="3"/>
              <w:ind w:left="0" w:leftChars="0"/>
              <w:jc w:val="left"/>
              <w:rPr>
                <w:rFonts w:ascii="宋体" w:hAnsi="宋体"/>
                <w:color w:val="000000"/>
              </w:rPr>
            </w:pPr>
            <w:r>
              <w:rPr>
                <w:rFonts w:hint="eastAsia" w:ascii="宋体" w:hAnsi="宋体"/>
                <w:color w:val="000000"/>
              </w:rPr>
              <w:t>项目名称：</w:t>
            </w:r>
          </w:p>
          <w:p>
            <w:pPr>
              <w:pStyle w:val="3"/>
              <w:ind w:left="0" w:leftChars="0"/>
              <w:jc w:val="left"/>
              <w:rPr>
                <w:rFonts w:ascii="宋体" w:hAnsi="宋体"/>
                <w:color w:val="000000"/>
              </w:rPr>
            </w:pPr>
            <w:r>
              <w:rPr>
                <w:rFonts w:hint="eastAsia" w:ascii="宋体" w:hAnsi="宋体"/>
                <w:color w:val="000000"/>
              </w:rPr>
              <w:t>所报包号：</w:t>
            </w:r>
          </w:p>
          <w:p>
            <w:pPr>
              <w:pStyle w:val="3"/>
              <w:ind w:left="0" w:leftChars="0"/>
              <w:jc w:val="left"/>
              <w:rPr>
                <w:rFonts w:ascii="宋体" w:hAnsi="宋体"/>
                <w:color w:val="000000"/>
              </w:rPr>
            </w:pPr>
            <w:r>
              <w:rPr>
                <w:rFonts w:hint="eastAsia" w:ascii="宋体" w:hAnsi="宋体"/>
                <w:color w:val="000000"/>
              </w:rPr>
              <w:t>供应商名称（公章）：</w:t>
            </w:r>
          </w:p>
          <w:p>
            <w:pPr>
              <w:pStyle w:val="3"/>
              <w:ind w:left="0" w:leftChars="0"/>
              <w:jc w:val="left"/>
              <w:rPr>
                <w:rFonts w:ascii="宋体" w:hAnsi="宋体"/>
                <w:color w:val="000000"/>
              </w:rPr>
            </w:pPr>
            <w:r>
              <w:rPr>
                <w:rFonts w:hint="eastAsia" w:ascii="宋体" w:hAnsi="宋体"/>
                <w:color w:val="000000"/>
              </w:rPr>
              <w:t>地址：</w:t>
            </w:r>
          </w:p>
          <w:p>
            <w:pPr>
              <w:pStyle w:val="3"/>
              <w:ind w:left="0" w:leftChars="0"/>
              <w:jc w:val="left"/>
              <w:rPr>
                <w:rFonts w:ascii="宋体" w:hAnsi="宋体"/>
                <w:color w:val="000000"/>
              </w:rPr>
            </w:pPr>
            <w:r>
              <w:rPr>
                <w:rFonts w:hint="eastAsia" w:ascii="宋体" w:hAnsi="宋体"/>
                <w:color w:val="000000"/>
              </w:rPr>
              <w:t>邮编：</w:t>
            </w:r>
          </w:p>
          <w:p>
            <w:pPr>
              <w:pStyle w:val="3"/>
              <w:ind w:left="0" w:leftChars="0"/>
              <w:jc w:val="left"/>
              <w:rPr>
                <w:rFonts w:ascii="宋体" w:hAnsi="宋体"/>
                <w:color w:val="000000"/>
              </w:rPr>
            </w:pPr>
            <w:r>
              <w:rPr>
                <w:rFonts w:hint="eastAsia" w:ascii="宋体" w:hAnsi="宋体"/>
                <w:color w:val="000000"/>
              </w:rPr>
              <w:t>电话：</w:t>
            </w:r>
          </w:p>
          <w:p>
            <w:pPr>
              <w:pStyle w:val="3"/>
              <w:ind w:left="0" w:leftChars="0"/>
              <w:jc w:val="left"/>
              <w:rPr>
                <w:rFonts w:ascii="宋体" w:hAnsi="宋体"/>
                <w:color w:val="000000"/>
              </w:rPr>
            </w:pPr>
            <w:r>
              <w:rPr>
                <w:rFonts w:hint="eastAsia" w:ascii="宋体" w:hAnsi="宋体"/>
                <w:color w:val="000000"/>
              </w:rPr>
              <w:t>传真：</w:t>
            </w:r>
          </w:p>
          <w:p>
            <w:pPr>
              <w:pStyle w:val="3"/>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3"/>
              <w:ind w:firstLine="590"/>
              <w:jc w:val="center"/>
              <w:rPr>
                <w:rFonts w:ascii="宋体" w:hAnsi="宋体"/>
                <w:b/>
                <w:color w:val="000000"/>
                <w:sz w:val="30"/>
              </w:rPr>
            </w:pPr>
          </w:p>
          <w:p>
            <w:pPr>
              <w:pStyle w:val="3"/>
              <w:ind w:left="0" w:leftChars="0"/>
              <w:jc w:val="center"/>
              <w:rPr>
                <w:rFonts w:ascii="宋体" w:hAnsi="宋体"/>
                <w:color w:val="000000"/>
                <w:sz w:val="30"/>
              </w:rPr>
            </w:pPr>
            <w:r>
              <w:rPr>
                <w:rFonts w:hint="eastAsia" w:ascii="宋体" w:hAnsi="宋体"/>
                <w:b/>
                <w:color w:val="000000"/>
                <w:sz w:val="32"/>
                <w:szCs w:val="32"/>
              </w:rPr>
              <w:t>报价一览表</w:t>
            </w:r>
          </w:p>
          <w:p>
            <w:pPr>
              <w:pStyle w:val="3"/>
              <w:ind w:firstLine="470"/>
              <w:jc w:val="center"/>
              <w:rPr>
                <w:rFonts w:ascii="宋体" w:hAnsi="宋体"/>
                <w:color w:val="000000"/>
              </w:rPr>
            </w:pPr>
          </w:p>
          <w:p>
            <w:pPr>
              <w:pStyle w:val="3"/>
              <w:ind w:left="0" w:leftChars="0"/>
              <w:jc w:val="center"/>
              <w:rPr>
                <w:rFonts w:ascii="宋体" w:hAnsi="宋体"/>
                <w:color w:val="000000"/>
              </w:rPr>
            </w:pPr>
            <w:r>
              <w:rPr>
                <w:rFonts w:hint="eastAsia" w:ascii="宋体" w:hAnsi="宋体"/>
                <w:color w:val="000000"/>
              </w:rPr>
              <w:t>项目编号：</w:t>
            </w:r>
          </w:p>
          <w:p>
            <w:pPr>
              <w:pStyle w:val="3"/>
              <w:ind w:left="0" w:leftChars="0"/>
              <w:jc w:val="center"/>
              <w:rPr>
                <w:rFonts w:ascii="宋体" w:hAnsi="宋体"/>
                <w:color w:val="000000"/>
              </w:rPr>
            </w:pPr>
            <w:r>
              <w:rPr>
                <w:rFonts w:hint="eastAsia" w:ascii="宋体" w:hAnsi="宋体"/>
                <w:color w:val="000000"/>
              </w:rPr>
              <w:t>项目名称：</w:t>
            </w:r>
          </w:p>
          <w:p>
            <w:pPr>
              <w:pStyle w:val="3"/>
              <w:ind w:left="0" w:leftChars="0"/>
              <w:jc w:val="center"/>
              <w:rPr>
                <w:rFonts w:ascii="宋体" w:hAnsi="宋体"/>
                <w:color w:val="000000"/>
              </w:rPr>
            </w:pPr>
            <w:r>
              <w:rPr>
                <w:rFonts w:hint="eastAsia" w:ascii="宋体" w:hAnsi="宋体"/>
                <w:color w:val="000000"/>
              </w:rPr>
              <w:t>所报包号：</w:t>
            </w:r>
          </w:p>
          <w:p>
            <w:pPr>
              <w:pStyle w:val="3"/>
              <w:ind w:left="0" w:leftChars="0"/>
              <w:jc w:val="center"/>
              <w:rPr>
                <w:rFonts w:ascii="宋体" w:hAnsi="宋体"/>
                <w:color w:val="000000"/>
              </w:rPr>
            </w:pPr>
            <w:r>
              <w:rPr>
                <w:rFonts w:hint="eastAsia" w:ascii="宋体" w:hAnsi="宋体"/>
                <w:color w:val="000000"/>
              </w:rPr>
              <w:t>供应商名称（公章）：</w:t>
            </w:r>
          </w:p>
          <w:p>
            <w:pPr>
              <w:pStyle w:val="3"/>
              <w:ind w:firstLine="470"/>
              <w:jc w:val="center"/>
              <w:rPr>
                <w:rFonts w:ascii="宋体" w:hAnsi="宋体"/>
                <w:color w:val="000000"/>
              </w:rPr>
            </w:pPr>
          </w:p>
        </w:tc>
      </w:tr>
    </w:tbl>
    <w:p>
      <w:pPr>
        <w:pStyle w:val="3"/>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3"/>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2F0394-4ED6-426E-900E-378A6E0724E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B9F09A24-9AF5-487B-A18D-045A59B740A4}"/>
  </w:font>
  <w:font w:name="微软雅黑">
    <w:panose1 w:val="020B0503020204020204"/>
    <w:charset w:val="86"/>
    <w:family w:val="auto"/>
    <w:pitch w:val="default"/>
    <w:sig w:usb0="80000287" w:usb1="2ACF3C50" w:usb2="00000016" w:usb3="00000000" w:csb0="0004001F" w:csb1="00000000"/>
    <w:embedRegular r:id="rId3" w:fontKey="{2BEFEAD1-8407-4B28-85FD-376A26C6C446}"/>
  </w:font>
  <w:font w:name="Helvetica">
    <w:altName w:val="Arial"/>
    <w:panose1 w:val="020B0604020202020204"/>
    <w:charset w:val="00"/>
    <w:family w:val="swiss"/>
    <w:pitch w:val="default"/>
    <w:sig w:usb0="00000000" w:usb1="00000000" w:usb2="00000000" w:usb3="00000000" w:csb0="00000001" w:csb1="00000000"/>
    <w:embedRegular r:id="rId4" w:fontKey="{27E98888-2024-47EE-BAD2-695AB279ABFE}"/>
  </w:font>
  <w:font w:name="Heiti SC Light">
    <w:altName w:val="宋体"/>
    <w:panose1 w:val="00000000000000000000"/>
    <w:charset w:val="86"/>
    <w:family w:val="auto"/>
    <w:pitch w:val="default"/>
    <w:sig w:usb0="00000000" w:usb1="00000000" w:usb2="00000010" w:usb3="00000000" w:csb0="00040000" w:csb1="00000000"/>
    <w:embedRegular r:id="rId5" w:fontKey="{F5F74982-5F3E-4169-8EC5-A622ABA5A9DB}"/>
  </w:font>
  <w:font w:name="仿宋">
    <w:panose1 w:val="02010609060101010101"/>
    <w:charset w:val="86"/>
    <w:family w:val="auto"/>
    <w:pitch w:val="default"/>
    <w:sig w:usb0="800002BF" w:usb1="38CF7CFA" w:usb2="00000016" w:usb3="00000000" w:csb0="00040001" w:csb1="00000000"/>
    <w:embedRegular r:id="rId6" w:fontKey="{5517D95D-89E7-4C59-8B9C-137F7203E6A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8DA374"/>
    <w:multiLevelType w:val="singleLevel"/>
    <w:tmpl w:val="628DA374"/>
    <w:lvl w:ilvl="0" w:tentative="0">
      <w:start w:val="1"/>
      <w:numFmt w:val="decimal"/>
      <w:lvlText w:val="%1."/>
      <w:lvlJc w:val="left"/>
      <w:pPr>
        <w:tabs>
          <w:tab w:val="left" w:pos="312"/>
        </w:tabs>
      </w:pPr>
    </w:lvl>
  </w:abstractNum>
  <w:abstractNum w:abstractNumId="2">
    <w:nsid w:val="7E812831"/>
    <w:multiLevelType w:val="singleLevel"/>
    <w:tmpl w:val="7E812831"/>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D252B4"/>
    <w:rsid w:val="0F55586F"/>
    <w:rsid w:val="1240764A"/>
    <w:rsid w:val="12FD16FD"/>
    <w:rsid w:val="191E18A8"/>
    <w:rsid w:val="1CA74248"/>
    <w:rsid w:val="1ED12DC7"/>
    <w:rsid w:val="1F7B525B"/>
    <w:rsid w:val="27F36A5B"/>
    <w:rsid w:val="2B592D42"/>
    <w:rsid w:val="30862769"/>
    <w:rsid w:val="30ED6026"/>
    <w:rsid w:val="3E294764"/>
    <w:rsid w:val="3F216D5B"/>
    <w:rsid w:val="41795C12"/>
    <w:rsid w:val="42F51426"/>
    <w:rsid w:val="434752D4"/>
    <w:rsid w:val="450F39F2"/>
    <w:rsid w:val="455627B7"/>
    <w:rsid w:val="473E600E"/>
    <w:rsid w:val="474655B0"/>
    <w:rsid w:val="489D396D"/>
    <w:rsid w:val="5088190E"/>
    <w:rsid w:val="50901E9F"/>
    <w:rsid w:val="55D07BA4"/>
    <w:rsid w:val="572E0F59"/>
    <w:rsid w:val="57C750E8"/>
    <w:rsid w:val="598343A6"/>
    <w:rsid w:val="5A5603C9"/>
    <w:rsid w:val="602F1439"/>
    <w:rsid w:val="670F0E44"/>
    <w:rsid w:val="67A369D6"/>
    <w:rsid w:val="683E490D"/>
    <w:rsid w:val="699F14B4"/>
    <w:rsid w:val="6A552596"/>
    <w:rsid w:val="6B060A2E"/>
    <w:rsid w:val="6B7C41CF"/>
    <w:rsid w:val="6C4760FC"/>
    <w:rsid w:val="6CA170BA"/>
    <w:rsid w:val="6D95366F"/>
    <w:rsid w:val="6E6A35B9"/>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Body Text Indent"/>
    <w:basedOn w:val="1"/>
    <w:link w:val="18"/>
    <w:unhideWhenUsed/>
    <w:qFormat/>
    <w:uiPriority w:val="99"/>
    <w:pPr>
      <w:spacing w:after="120"/>
      <w:ind w:left="420" w:leftChars="200"/>
    </w:pPr>
  </w:style>
  <w:style w:type="paragraph" w:styleId="4">
    <w:name w:val="Plain Text"/>
    <w:basedOn w:val="1"/>
    <w:link w:val="16"/>
    <w:qFormat/>
    <w:uiPriority w:val="0"/>
    <w:rPr>
      <w:rFonts w:ascii="宋体" w:hAnsi="Courier New"/>
      <w:sz w:val="24"/>
    </w:rPr>
  </w:style>
  <w:style w:type="paragraph" w:styleId="5">
    <w:name w:val="Date"/>
    <w:basedOn w:val="1"/>
    <w:next w:val="1"/>
    <w:link w:val="15"/>
    <w:semiHidden/>
    <w:unhideWhenUsed/>
    <w:qFormat/>
    <w:uiPriority w:val="99"/>
    <w:pPr>
      <w:ind w:left="100" w:leftChars="25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paragraph" w:styleId="14">
    <w:name w:val="List Paragraph"/>
    <w:basedOn w:val="1"/>
    <w:qFormat/>
    <w:uiPriority w:val="99"/>
    <w:pPr>
      <w:ind w:firstLine="420" w:firstLineChars="200"/>
    </w:pPr>
  </w:style>
  <w:style w:type="character" w:customStyle="1" w:styleId="15">
    <w:name w:val="日期 Char"/>
    <w:basedOn w:val="11"/>
    <w:link w:val="5"/>
    <w:semiHidden/>
    <w:qFormat/>
    <w:uiPriority w:val="99"/>
  </w:style>
  <w:style w:type="character" w:customStyle="1" w:styleId="16">
    <w:name w:val="纯文本 Char1"/>
    <w:link w:val="4"/>
    <w:qFormat/>
    <w:uiPriority w:val="0"/>
    <w:rPr>
      <w:rFonts w:ascii="宋体" w:hAnsi="Courier New"/>
      <w:sz w:val="24"/>
    </w:rPr>
  </w:style>
  <w:style w:type="character" w:customStyle="1" w:styleId="17">
    <w:name w:val="纯文本 Char"/>
    <w:basedOn w:val="11"/>
    <w:semiHidden/>
    <w:qFormat/>
    <w:uiPriority w:val="99"/>
    <w:rPr>
      <w:rFonts w:ascii="宋体" w:hAnsi="Courier New" w:eastAsia="宋体" w:cs="Courier New"/>
      <w:szCs w:val="21"/>
    </w:rPr>
  </w:style>
  <w:style w:type="character" w:customStyle="1" w:styleId="18">
    <w:name w:val="正文文本缩进 Char"/>
    <w:basedOn w:val="11"/>
    <w:link w:val="3"/>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29</Pages>
  <Words>12719</Words>
  <Characters>14887</Characters>
  <Lines>51</Lines>
  <Paragraphs>14</Paragraphs>
  <TotalTime>7</TotalTime>
  <ScaleCrop>false</ScaleCrop>
  <LinksUpToDate>false</LinksUpToDate>
  <CharactersWithSpaces>15624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2022-07-08T08:39:59Z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A86707D4DD7345248F44D67E575CC871</vt:lpwstr>
  </property>
</Properties>
</file>