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ilvl w:val="0"/>
          <w:numId w:val="0"/>
        </w:numPr>
        <w:ind w:leftChars="0"/>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山东第一医科大学附属青岛眼科医院单病种上报系统采购项目竞争性磋商文件</w:t>
      </w:r>
    </w:p>
    <w:p>
      <w:pPr>
        <w:pStyle w:val="10"/>
        <w:numPr>
          <w:ilvl w:val="0"/>
          <w:numId w:val="2"/>
        </w:numPr>
        <w:ind w:firstLineChars="0"/>
        <w:jc w:val="center"/>
        <w:rPr>
          <w:b/>
          <w:sz w:val="28"/>
          <w:szCs w:val="28"/>
        </w:rPr>
      </w:pPr>
      <w:r>
        <w:rPr>
          <w:rFonts w:hint="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8"/>
          <w:szCs w:val="28"/>
        </w:rPr>
      </w:pPr>
      <w:r>
        <w:rPr>
          <w:rFonts w:hint="eastAsia"/>
          <w:b/>
          <w:sz w:val="28"/>
          <w:szCs w:val="28"/>
        </w:rPr>
        <w:t>一、供应商资格</w:t>
      </w:r>
    </w:p>
    <w:p>
      <w:pPr>
        <w:spacing w:line="360" w:lineRule="auto"/>
        <w:ind w:firstLine="420" w:firstLineChars="150"/>
        <w:rPr>
          <w:rFonts w:hint="eastAsia"/>
          <w:sz w:val="28"/>
          <w:szCs w:val="28"/>
        </w:rPr>
      </w:pPr>
      <w:r>
        <w:rPr>
          <w:rFonts w:hint="eastAsia"/>
          <w:sz w:val="28"/>
          <w:szCs w:val="28"/>
        </w:rPr>
        <w:t>1、在中国境内注册、具有能独立法人资格、能独立承担民事责任的合法企业；</w:t>
      </w:r>
    </w:p>
    <w:p>
      <w:pPr>
        <w:spacing w:line="360" w:lineRule="auto"/>
        <w:ind w:firstLine="420" w:firstLineChars="150"/>
        <w:rPr>
          <w:rFonts w:hint="eastAsia"/>
          <w:sz w:val="28"/>
          <w:szCs w:val="28"/>
        </w:rPr>
      </w:pPr>
      <w:r>
        <w:rPr>
          <w:rFonts w:hint="eastAsia"/>
          <w:sz w:val="28"/>
          <w:szCs w:val="28"/>
        </w:rPr>
        <w:t>2、参加本次招标活动前3年内，在经营活动中没有重大违法记录；</w:t>
      </w:r>
    </w:p>
    <w:p>
      <w:pPr>
        <w:spacing w:line="360" w:lineRule="auto"/>
        <w:ind w:firstLine="420" w:firstLineChars="150"/>
        <w:rPr>
          <w:rFonts w:hint="eastAsia"/>
          <w:sz w:val="28"/>
          <w:szCs w:val="28"/>
        </w:rPr>
      </w:pPr>
      <w:r>
        <w:rPr>
          <w:rFonts w:hint="eastAsia"/>
          <w:sz w:val="28"/>
          <w:szCs w:val="28"/>
        </w:rPr>
        <w:t>3、具有健全的财务会计制度和良好的财务状况报告，依缴纳税收和社会保障资金；</w:t>
      </w:r>
    </w:p>
    <w:p>
      <w:pPr>
        <w:spacing w:line="360" w:lineRule="auto"/>
        <w:ind w:firstLine="420" w:firstLineChars="150"/>
        <w:rPr>
          <w:rFonts w:hint="eastAsia"/>
          <w:sz w:val="28"/>
          <w:szCs w:val="28"/>
        </w:rPr>
      </w:pPr>
      <w:r>
        <w:rPr>
          <w:rFonts w:hint="eastAsia"/>
          <w:sz w:val="28"/>
          <w:szCs w:val="28"/>
          <w:lang w:val="en-US" w:eastAsia="zh-CN"/>
        </w:rPr>
        <w:t>4</w:t>
      </w:r>
      <w:r>
        <w:rPr>
          <w:rFonts w:hint="eastAsia"/>
          <w:sz w:val="28"/>
          <w:szCs w:val="28"/>
        </w:rPr>
        <w:t>、单位负责人为同一人或者存在直接控股、管理关系的不同供应商，不得参加同一合同项下的招标采购活动。</w:t>
      </w:r>
    </w:p>
    <w:p>
      <w:pPr>
        <w:spacing w:line="360" w:lineRule="auto"/>
        <w:ind w:firstLine="420" w:firstLineChars="150"/>
        <w:rPr>
          <w:rFonts w:hint="eastAsia"/>
          <w:sz w:val="28"/>
          <w:szCs w:val="28"/>
        </w:rPr>
      </w:pPr>
      <w:r>
        <w:rPr>
          <w:rFonts w:hint="eastAsia"/>
          <w:sz w:val="28"/>
          <w:szCs w:val="28"/>
          <w:lang w:val="en-US" w:eastAsia="zh-CN"/>
        </w:rPr>
        <w:t>5</w:t>
      </w:r>
      <w:r>
        <w:rPr>
          <w:rFonts w:hint="eastAsia"/>
          <w:sz w:val="28"/>
          <w:szCs w:val="28"/>
        </w:rPr>
        <w:t>、具有履行合同所必需的人员、设备和专业技术能力；</w:t>
      </w:r>
    </w:p>
    <w:p>
      <w:pPr>
        <w:spacing w:line="360" w:lineRule="auto"/>
        <w:ind w:firstLine="420" w:firstLineChars="150"/>
        <w:rPr>
          <w:rFonts w:hint="eastAsia"/>
          <w:sz w:val="28"/>
          <w:szCs w:val="28"/>
        </w:rPr>
      </w:pPr>
      <w:r>
        <w:rPr>
          <w:rFonts w:hint="eastAsia"/>
          <w:sz w:val="28"/>
          <w:szCs w:val="28"/>
          <w:lang w:val="en-US" w:eastAsia="zh-CN"/>
        </w:rPr>
        <w:t>6</w:t>
      </w:r>
      <w:r>
        <w:rPr>
          <w:rFonts w:hint="eastAsia"/>
          <w:sz w:val="28"/>
          <w:szCs w:val="28"/>
        </w:rPr>
        <w:t>、应符合《中华人民共和国政府采购法》第二十二条的规定；</w:t>
      </w:r>
    </w:p>
    <w:p>
      <w:pPr>
        <w:spacing w:line="360" w:lineRule="auto"/>
        <w:ind w:firstLine="420" w:firstLineChars="150"/>
        <w:rPr>
          <w:rFonts w:hint="eastAsia"/>
          <w:sz w:val="28"/>
          <w:szCs w:val="28"/>
        </w:rPr>
      </w:pPr>
      <w:r>
        <w:rPr>
          <w:rFonts w:hint="eastAsia"/>
          <w:sz w:val="28"/>
          <w:szCs w:val="28"/>
          <w:lang w:val="en-US" w:eastAsia="zh-CN"/>
        </w:rPr>
        <w:t>7</w:t>
      </w:r>
      <w:r>
        <w:rPr>
          <w:rFonts w:hint="eastAsia"/>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spacing w:line="360" w:lineRule="auto"/>
        <w:ind w:firstLine="420" w:firstLineChars="150"/>
        <w:rPr>
          <w:rFonts w:hint="eastAsia"/>
          <w:sz w:val="28"/>
          <w:szCs w:val="28"/>
        </w:rPr>
      </w:pPr>
      <w:r>
        <w:rPr>
          <w:rFonts w:hint="eastAsia"/>
          <w:sz w:val="28"/>
          <w:szCs w:val="28"/>
          <w:lang w:val="en-US" w:eastAsia="zh-CN"/>
        </w:rPr>
        <w:t>8、</w:t>
      </w:r>
      <w:r>
        <w:rPr>
          <w:rFonts w:hint="eastAsia"/>
          <w:sz w:val="28"/>
          <w:szCs w:val="28"/>
        </w:rPr>
        <w:t>符合磋商文件中规定的其他实质性要求；</w:t>
      </w:r>
    </w:p>
    <w:p>
      <w:pPr>
        <w:spacing w:line="360" w:lineRule="auto"/>
        <w:ind w:firstLine="420" w:firstLineChars="150"/>
        <w:rPr>
          <w:rFonts w:hint="eastAsia"/>
          <w:sz w:val="28"/>
          <w:szCs w:val="28"/>
        </w:rPr>
      </w:pPr>
      <w:r>
        <w:rPr>
          <w:rFonts w:hint="eastAsia"/>
          <w:sz w:val="28"/>
          <w:szCs w:val="28"/>
          <w:lang w:val="en-US" w:eastAsia="zh-CN"/>
        </w:rPr>
        <w:t>9</w:t>
      </w:r>
      <w:r>
        <w:rPr>
          <w:rFonts w:hint="eastAsia"/>
          <w:sz w:val="28"/>
          <w:szCs w:val="28"/>
        </w:rPr>
        <w:t>、本项目不接受联合体投标。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0" w:firstLineChars="200"/>
        <w:rPr>
          <w:sz w:val="28"/>
          <w:szCs w:val="28"/>
        </w:rPr>
      </w:pPr>
      <w:r>
        <w:rPr>
          <w:rFonts w:hint="eastAsia"/>
          <w:sz w:val="28"/>
          <w:szCs w:val="28"/>
        </w:rPr>
        <w:t>1.2.2 分项报价明细表（按功能模块报价，格式自拟）</w:t>
      </w:r>
    </w:p>
    <w:p>
      <w:pPr>
        <w:spacing w:line="360" w:lineRule="auto"/>
        <w:ind w:firstLine="562" w:firstLineChars="200"/>
        <w:rPr>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 201</w:t>
      </w:r>
      <w:r>
        <w:rPr>
          <w:rFonts w:hint="eastAsia"/>
          <w:b/>
          <w:sz w:val="28"/>
          <w:szCs w:val="28"/>
          <w:lang w:val="en-US" w:eastAsia="zh-CN"/>
        </w:rPr>
        <w:t>9</w:t>
      </w:r>
      <w:r>
        <w:rPr>
          <w:rFonts w:hint="eastAsia"/>
          <w:b/>
          <w:sz w:val="28"/>
          <w:szCs w:val="28"/>
        </w:rPr>
        <w:t>年度或20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1.3.7 无违法违规声明（详见附件）；</w:t>
      </w:r>
    </w:p>
    <w:p>
      <w:pPr>
        <w:spacing w:line="360" w:lineRule="auto"/>
        <w:ind w:firstLine="560" w:firstLineChars="200"/>
        <w:rPr>
          <w:sz w:val="28"/>
          <w:szCs w:val="28"/>
        </w:rPr>
      </w:pPr>
      <w:r>
        <w:rPr>
          <w:rFonts w:hint="eastAsia"/>
          <w:sz w:val="28"/>
          <w:szCs w:val="28"/>
        </w:rPr>
        <w:t>1.3.8 无不良信用记录承诺函（详见附件）；</w:t>
      </w:r>
    </w:p>
    <w:p>
      <w:pPr>
        <w:spacing w:line="360" w:lineRule="auto"/>
        <w:ind w:firstLine="560" w:firstLineChars="200"/>
        <w:rPr>
          <w:sz w:val="28"/>
          <w:szCs w:val="28"/>
        </w:rPr>
      </w:pPr>
      <w:r>
        <w:rPr>
          <w:rFonts w:hint="eastAsia"/>
          <w:sz w:val="28"/>
          <w:szCs w:val="28"/>
        </w:rPr>
        <w:t>1.3.9投标人认为需要提交的其它文件。</w:t>
      </w:r>
    </w:p>
    <w:p>
      <w:pPr>
        <w:spacing w:line="360" w:lineRule="auto"/>
        <w:ind w:firstLine="560" w:firstLineChars="200"/>
        <w:rPr>
          <w:sz w:val="28"/>
          <w:szCs w:val="28"/>
        </w:rPr>
      </w:pPr>
      <w:r>
        <w:rPr>
          <w:rFonts w:hint="eastAsia"/>
          <w:sz w:val="28"/>
          <w:szCs w:val="28"/>
        </w:rPr>
        <w:t>1.4 商务文件</w:t>
      </w:r>
    </w:p>
    <w:p>
      <w:pPr>
        <w:spacing w:line="360" w:lineRule="auto"/>
        <w:ind w:firstLine="562" w:firstLineChars="200"/>
        <w:rPr>
          <w:b/>
          <w:sz w:val="28"/>
          <w:szCs w:val="28"/>
        </w:rPr>
      </w:pPr>
      <w:r>
        <w:rPr>
          <w:rFonts w:hint="eastAsia"/>
          <w:b/>
          <w:sz w:val="28"/>
          <w:szCs w:val="28"/>
        </w:rPr>
        <w:t>1.4.1企业资产状况、信誉、综合实力等综合情况说明；</w:t>
      </w:r>
    </w:p>
    <w:p>
      <w:pPr>
        <w:spacing w:line="360" w:lineRule="auto"/>
        <w:ind w:firstLine="562" w:firstLineChars="200"/>
        <w:rPr>
          <w:b/>
          <w:sz w:val="28"/>
          <w:szCs w:val="28"/>
        </w:rPr>
      </w:pPr>
      <w:bookmarkStart w:id="0" w:name="OLE_LINK8"/>
      <w:r>
        <w:rPr>
          <w:rFonts w:hint="eastAsia"/>
          <w:b/>
          <w:sz w:val="28"/>
          <w:szCs w:val="28"/>
        </w:rPr>
        <w:t>1.4.2近三年（201</w:t>
      </w:r>
      <w:r>
        <w:rPr>
          <w:rFonts w:hint="eastAsia"/>
          <w:b/>
          <w:sz w:val="28"/>
          <w:szCs w:val="28"/>
          <w:lang w:val="en-US" w:eastAsia="zh-CN"/>
        </w:rPr>
        <w:t>9</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bookmarkEnd w:id="0"/>
    <w:p>
      <w:pPr>
        <w:spacing w:line="400" w:lineRule="exact"/>
        <w:ind w:firstLine="562" w:firstLineChars="200"/>
        <w:rPr>
          <w:b/>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1.4.1对本项目总体要求的理解；</w:t>
      </w:r>
    </w:p>
    <w:p>
      <w:pPr>
        <w:spacing w:line="360" w:lineRule="auto"/>
        <w:ind w:firstLine="560" w:firstLineChars="200"/>
        <w:rPr>
          <w:sz w:val="28"/>
          <w:szCs w:val="28"/>
        </w:rPr>
      </w:pPr>
      <w:r>
        <w:rPr>
          <w:rFonts w:hint="eastAsia"/>
          <w:sz w:val="28"/>
          <w:szCs w:val="28"/>
        </w:rPr>
        <w:t>1.4.2技术方案；</w:t>
      </w:r>
    </w:p>
    <w:p>
      <w:pPr>
        <w:spacing w:line="360" w:lineRule="auto"/>
        <w:ind w:firstLine="560" w:firstLineChars="200"/>
        <w:rPr>
          <w:sz w:val="28"/>
          <w:szCs w:val="28"/>
        </w:rPr>
      </w:pPr>
      <w:r>
        <w:rPr>
          <w:rFonts w:hint="eastAsia"/>
          <w:sz w:val="28"/>
          <w:szCs w:val="28"/>
        </w:rPr>
        <w:t>1.4.3</w:t>
      </w:r>
      <w:r>
        <w:rPr>
          <w:sz w:val="28"/>
          <w:szCs w:val="28"/>
        </w:rPr>
        <w:t>技术偏离表</w:t>
      </w:r>
      <w:r>
        <w:rPr>
          <w:rFonts w:hint="eastAsia"/>
          <w:sz w:val="28"/>
          <w:szCs w:val="28"/>
        </w:rPr>
        <w:t>（详见附件）</w:t>
      </w:r>
      <w:r>
        <w:rPr>
          <w:sz w:val="28"/>
          <w:szCs w:val="28"/>
        </w:rPr>
        <w:t>；</w:t>
      </w:r>
    </w:p>
    <w:p>
      <w:pPr>
        <w:spacing w:line="360" w:lineRule="auto"/>
        <w:ind w:firstLine="560" w:firstLineChars="200"/>
        <w:rPr>
          <w:sz w:val="28"/>
          <w:szCs w:val="28"/>
        </w:rPr>
      </w:pPr>
      <w:r>
        <w:rPr>
          <w:rFonts w:hint="eastAsia"/>
          <w:sz w:val="28"/>
          <w:szCs w:val="28"/>
        </w:rPr>
        <w:t>1.4.4项目实施人员（主要从业人员以及其技术资格）一览表；</w:t>
      </w:r>
    </w:p>
    <w:p>
      <w:pPr>
        <w:spacing w:line="360" w:lineRule="auto"/>
        <w:ind w:firstLine="560" w:firstLineChars="200"/>
        <w:rPr>
          <w:sz w:val="28"/>
          <w:szCs w:val="28"/>
          <w:highlight w:val="none"/>
        </w:rPr>
      </w:pPr>
      <w:r>
        <w:rPr>
          <w:rFonts w:hint="eastAsia"/>
          <w:sz w:val="28"/>
          <w:szCs w:val="28"/>
          <w:highlight w:val="none"/>
        </w:rPr>
        <w:t>1.4.5</w:t>
      </w:r>
      <w:r>
        <w:rPr>
          <w:sz w:val="28"/>
          <w:szCs w:val="28"/>
          <w:highlight w:val="none"/>
        </w:rPr>
        <w:t>售后服务内容</w:t>
      </w:r>
      <w:r>
        <w:rPr>
          <w:rFonts w:hint="eastAsia"/>
          <w:sz w:val="28"/>
          <w:szCs w:val="28"/>
          <w:highlight w:val="none"/>
        </w:rPr>
        <w:t>及</w:t>
      </w:r>
      <w:r>
        <w:rPr>
          <w:sz w:val="28"/>
          <w:szCs w:val="28"/>
          <w:highlight w:val="none"/>
        </w:rPr>
        <w:t>保证措施；</w:t>
      </w:r>
    </w:p>
    <w:p>
      <w:pPr>
        <w:spacing w:line="360" w:lineRule="auto"/>
        <w:ind w:firstLine="560" w:firstLineChars="200"/>
        <w:rPr>
          <w:sz w:val="28"/>
          <w:szCs w:val="28"/>
          <w:highlight w:val="none"/>
        </w:rPr>
      </w:pPr>
      <w:r>
        <w:rPr>
          <w:rFonts w:hint="eastAsia"/>
          <w:sz w:val="28"/>
          <w:szCs w:val="28"/>
          <w:highlight w:val="none"/>
        </w:rPr>
        <w:t>1.4.6培训方案；</w:t>
      </w:r>
    </w:p>
    <w:p>
      <w:pPr>
        <w:spacing w:line="360" w:lineRule="auto"/>
        <w:ind w:firstLine="560" w:firstLineChars="200"/>
        <w:rPr>
          <w:sz w:val="28"/>
          <w:szCs w:val="28"/>
        </w:rPr>
      </w:pPr>
      <w:r>
        <w:rPr>
          <w:rFonts w:hint="eastAsia"/>
          <w:sz w:val="28"/>
          <w:szCs w:val="28"/>
        </w:rPr>
        <w:t>1.4.7磋商文件要求或者供应商认为其它应介绍或者提交的资料和文件；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5.1本项目为交钥匙工程，供应商的报价应包含主件、标准附件、备品备件、专用工具、安装、调试、检验、培训、技术服务、运输、保险及因购买货物和服务所需缴纳的所有税费等全部费用。</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rFonts w:hint="eastAsia" w:eastAsiaTheme="minorEastAsia"/>
          <w:sz w:val="28"/>
          <w:szCs w:val="28"/>
          <w:lang w:val="en-US" w:eastAsia="zh-CN"/>
        </w:rPr>
      </w:pPr>
      <w:r>
        <w:rPr>
          <w:rFonts w:hint="eastAsia"/>
          <w:sz w:val="28"/>
          <w:szCs w:val="28"/>
        </w:rPr>
        <w:t>5.3 响应文件的单价和金额应全部以人民币报出，报价中所有单价取小数点后两位，所有合价和总价精确到“元”。大写金额和小写金额不一致的，以大写金额为准</w:t>
      </w:r>
      <w:r>
        <w:rPr>
          <w:rFonts w:hint="eastAsia"/>
          <w:sz w:val="28"/>
          <w:szCs w:val="28"/>
          <w:lang w:eastAsia="zh-CN"/>
        </w:rPr>
        <w:t>。</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5.5供应商必须对所提供货物和服务等知识产权方面的一切产权关系负全部责任，由此而引起的法律纠纷以及费用供应商须全部承担。</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jc w:val="both"/>
        <w:rPr>
          <w:b/>
          <w:sz w:val="28"/>
          <w:szCs w:val="28"/>
        </w:rPr>
      </w:pPr>
    </w:p>
    <w:p>
      <w:pPr>
        <w:pStyle w:val="10"/>
        <w:numPr>
          <w:ilvl w:val="0"/>
          <w:numId w:val="2"/>
        </w:numPr>
        <w:ind w:firstLineChars="0"/>
        <w:jc w:val="center"/>
        <w:rPr>
          <w:b/>
          <w:sz w:val="28"/>
          <w:szCs w:val="28"/>
        </w:rPr>
      </w:pPr>
      <w:r>
        <w:rPr>
          <w:rFonts w:hint="eastAsia"/>
          <w:b/>
          <w:sz w:val="28"/>
          <w:szCs w:val="28"/>
        </w:rPr>
        <w:t>项目说明</w:t>
      </w:r>
    </w:p>
    <w:p>
      <w:pPr>
        <w:pStyle w:val="10"/>
        <w:numPr>
          <w:ilvl w:val="0"/>
          <w:numId w:val="3"/>
        </w:numPr>
        <w:ind w:firstLineChars="0"/>
        <w:rPr>
          <w:rFonts w:asciiTheme="minorEastAsia" w:hAnsiTheme="minorEastAsia"/>
          <w:b/>
          <w:sz w:val="28"/>
          <w:szCs w:val="28"/>
        </w:rPr>
      </w:pPr>
      <w:r>
        <w:rPr>
          <w:rFonts w:hint="eastAsia" w:asciiTheme="minorEastAsia" w:hAnsiTheme="minorEastAsia"/>
          <w:b/>
          <w:sz w:val="28"/>
          <w:szCs w:val="28"/>
        </w:rPr>
        <w:t>项目概况</w:t>
      </w:r>
    </w:p>
    <w:p>
      <w:pPr>
        <w:pStyle w:val="10"/>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Theme="minorEastAsia" w:hAnsiTheme="minorEastAsia" w:eastAsiaTheme="minorEastAsia"/>
          <w:b w:val="0"/>
          <w:bCs/>
          <w:sz w:val="28"/>
          <w:szCs w:val="28"/>
          <w:lang w:val="en-US" w:eastAsia="zh-CN"/>
        </w:rPr>
      </w:pPr>
      <w:r>
        <w:rPr>
          <w:rFonts w:hint="eastAsia" w:asciiTheme="minorEastAsia" w:hAnsiTheme="minorEastAsia"/>
          <w:b w:val="0"/>
          <w:bCs/>
          <w:sz w:val="28"/>
          <w:szCs w:val="28"/>
          <w:lang w:val="en-US" w:eastAsia="zh-CN"/>
        </w:rPr>
        <w:t>建立一套可准确、及时、完整、便捷地向卫生健康行政部门报送相关数据、规范单病种管理的系统，来满足国家卫生健康委、医院等级评审、公立医院绩效考核对单病种管理规范管理、及时上报要求。同时通过对院内单病种数据的统计、监控、分析、汇总、管控医疗风险，提高医疗质量，规范单病种管理。</w:t>
      </w:r>
    </w:p>
    <w:p>
      <w:pPr>
        <w:keepNext w:val="0"/>
        <w:keepLines w:val="0"/>
        <w:pageBreakBefore w:val="0"/>
        <w:widowControl w:val="0"/>
        <w:kinsoku/>
        <w:wordWrap/>
        <w:overflowPunct/>
        <w:topLinePunct w:val="0"/>
        <w:autoSpaceDE/>
        <w:autoSpaceDN/>
        <w:bidi w:val="0"/>
        <w:adjustRightInd/>
        <w:snapToGrid/>
        <w:textAlignment w:val="auto"/>
        <w:rPr>
          <w:rFonts w:asciiTheme="minorEastAsia" w:hAnsiTheme="minorEastAsia"/>
          <w:b w:val="0"/>
          <w:bCs/>
          <w:sz w:val="28"/>
          <w:szCs w:val="28"/>
          <w:highlight w:val="none"/>
        </w:rPr>
      </w:pPr>
      <w:r>
        <w:rPr>
          <w:rFonts w:hint="eastAsia" w:asciiTheme="minorEastAsia" w:hAnsiTheme="minorEastAsia"/>
          <w:b/>
          <w:bCs w:val="0"/>
          <w:sz w:val="28"/>
          <w:szCs w:val="28"/>
          <w:highlight w:val="none"/>
        </w:rPr>
        <w:t>二、采购控制价：</w:t>
      </w:r>
      <w:r>
        <w:rPr>
          <w:rFonts w:hint="eastAsia" w:asciiTheme="minorEastAsia" w:hAnsiTheme="minorEastAsia"/>
          <w:b/>
          <w:bCs w:val="0"/>
          <w:sz w:val="28"/>
          <w:szCs w:val="28"/>
          <w:highlight w:val="none"/>
          <w:lang w:val="en-US" w:eastAsia="zh-CN"/>
        </w:rPr>
        <w:t xml:space="preserve">  30</w:t>
      </w:r>
      <w:r>
        <w:rPr>
          <w:rFonts w:hint="eastAsia" w:asciiTheme="minorEastAsia" w:hAnsiTheme="minorEastAsia"/>
          <w:b/>
          <w:bCs w:val="0"/>
          <w:sz w:val="28"/>
          <w:szCs w:val="28"/>
          <w:highlight w:val="none"/>
        </w:rPr>
        <w:t>万</w:t>
      </w:r>
    </w:p>
    <w:p>
      <w:pPr>
        <w:rPr>
          <w:rFonts w:hint="default" w:asciiTheme="minorEastAsia" w:hAnsiTheme="minorEastAsia" w:eastAsiaTheme="minorEastAsia"/>
          <w:b/>
          <w:sz w:val="28"/>
          <w:szCs w:val="28"/>
          <w:highlight w:val="none"/>
          <w:lang w:val="en-US" w:eastAsia="zh-CN"/>
        </w:rPr>
      </w:pPr>
      <w:r>
        <w:rPr>
          <w:rFonts w:hint="eastAsia" w:asciiTheme="minorEastAsia" w:hAnsiTheme="minorEastAsia"/>
          <w:b/>
          <w:sz w:val="28"/>
          <w:szCs w:val="28"/>
          <w:highlight w:val="none"/>
        </w:rPr>
        <w:t>三、实施周期：</w:t>
      </w:r>
      <w:r>
        <w:rPr>
          <w:rFonts w:hint="eastAsia" w:asciiTheme="minorEastAsia" w:hAnsiTheme="minorEastAsia"/>
          <w:b/>
          <w:sz w:val="28"/>
          <w:szCs w:val="28"/>
          <w:highlight w:val="none"/>
          <w:lang w:val="en-US" w:eastAsia="zh-CN"/>
        </w:rPr>
        <w:t xml:space="preserve">  90天</w:t>
      </w:r>
      <w:bookmarkStart w:id="25" w:name="_GoBack"/>
      <w:bookmarkEnd w:id="25"/>
    </w:p>
    <w:p>
      <w:pPr>
        <w:rPr>
          <w:rFonts w:asciiTheme="minorEastAsia" w:hAnsiTheme="minorEastAsia"/>
          <w:b/>
          <w:sz w:val="28"/>
          <w:szCs w:val="28"/>
        </w:rPr>
      </w:pPr>
      <w:r>
        <w:rPr>
          <w:rFonts w:hint="eastAsia" w:asciiTheme="minorEastAsia" w:hAnsiTheme="minorEastAsia"/>
          <w:b/>
          <w:sz w:val="28"/>
          <w:szCs w:val="28"/>
          <w:lang w:val="en-US" w:eastAsia="zh-CN"/>
        </w:rPr>
        <w:t>四</w:t>
      </w:r>
      <w:r>
        <w:rPr>
          <w:rFonts w:hint="eastAsia" w:asciiTheme="minorEastAsia" w:hAnsiTheme="minorEastAsia"/>
          <w:b/>
          <w:sz w:val="28"/>
          <w:szCs w:val="28"/>
        </w:rPr>
        <w:t>、技术要求</w:t>
      </w:r>
    </w:p>
    <w:p>
      <w:pPr>
        <w:pStyle w:val="2"/>
        <w:pageBreakBefore w:val="0"/>
        <w:numPr>
          <w:ilvl w:val="0"/>
          <w:numId w:val="0"/>
        </w:numPr>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建设内容及功能要求</w:t>
      </w:r>
    </w:p>
    <w:p>
      <w:pPr>
        <w:numPr>
          <w:ilvl w:val="1"/>
          <w:numId w:val="4"/>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基于诊疗过程的单病种质量控制指标评价</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符合卫生部前后发布所有单病种（手术）出院（死亡）诊断条件的病人，在出院（死亡）后10天内由临床医生（或科室指派专人）在病房医生工作站中进行《单病种质量控制指标数据上报表》的登记和上报。系统智能化跟踪诊疗过程，在病人全程就诊期间，就相对应的自动评估相关项目，让医生在最终确认上报时，大大降低工作难度和强度。</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支持智能化干预，审查病人病情，对符合相关要求的病人，会提醒医生将其纳入单病种管理，并全程跟踪。支持结合临床路径的智能提醒和监管功能，能够实现对单病种病人的最好治疗，且可以对单病种病人的费用做到控制。</w:t>
      </w:r>
    </w:p>
    <w:p>
      <w:pPr>
        <w:numPr>
          <w:ilvl w:val="1"/>
          <w:numId w:val="4"/>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单病种质量控制指标审核</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由单病种管理办公室（或临床路径办公室）对临床上报的单病种病例进行审核，以发现误报病例和上报的单病种质量指标存在的问题。从各科室的出院（死亡）诊断中查询出所有符合上报条件的单病种病例，以发现漏报的单病种病例。通过对上报的单病种病例的有效管理，及时发现漏报和误报的病例，逐步提高临床上报的质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查询临床上报的单病种案例和单病种质量控制指标数据，提供查看病人完整病历的功能；对于待审核的单病种病例提供修改和审核的操作。提供补录单病种病例的功能，直接新增单病种病人，并进行单病种质量控制指标评价；支持数据导出excel文件。</w:t>
      </w:r>
    </w:p>
    <w:p>
      <w:pPr>
        <w:numPr>
          <w:ilvl w:val="1"/>
          <w:numId w:val="4"/>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单病种质量控制指标分析</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对由临床上报和单病种管理办公室确认后的单病种病例进行分析，生成各种图表为医院管理部门提供决策支持，分析医疗质量的变化趋势，评价医师诊疗行为是否符合规范，是否合理，也可以作为医院等级评审中评价医疗质量的直接数据证明。根据审核通过的单病种质量控制指标数据生成分析图表，每个单病种可以按年度或月份集中展示每项指标的趋势图。</w:t>
      </w:r>
    </w:p>
    <w:p>
      <w:pPr>
        <w:numPr>
          <w:ilvl w:val="1"/>
          <w:numId w:val="4"/>
        </w:numPr>
        <w:spacing w:line="360" w:lineRule="auto"/>
        <w:rPr>
          <w:rFonts w:hint="eastAsia" w:ascii="宋体" w:hAnsi="宋体" w:eastAsia="宋体" w:cs="宋体"/>
          <w:b/>
          <w:bCs/>
          <w:sz w:val="28"/>
          <w:szCs w:val="28"/>
        </w:rPr>
      </w:pPr>
      <w:bookmarkStart w:id="1" w:name="_Toc384043018"/>
      <w:r>
        <w:rPr>
          <w:rFonts w:hint="eastAsia" w:ascii="宋体" w:hAnsi="宋体" w:eastAsia="宋体" w:cs="宋体"/>
          <w:b/>
          <w:bCs/>
          <w:sz w:val="28"/>
          <w:szCs w:val="28"/>
        </w:rPr>
        <w:t>单病种质量控制指标报表</w:t>
      </w:r>
      <w:bookmarkEnd w:id="1"/>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支持各类单病种报表的统计和呈现，支持多角度多方向的统计分析，支持单病种的诊断指标、治疗指标、效率指标和经济指标的分析和统计打印功能。</w:t>
      </w:r>
    </w:p>
    <w:p>
      <w:pPr>
        <w:numPr>
          <w:ilvl w:val="1"/>
          <w:numId w:val="4"/>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模块清单</w:t>
      </w:r>
    </w:p>
    <w:tbl>
      <w:tblPr>
        <w:tblStyle w:val="7"/>
        <w:tblW w:w="9039"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1869"/>
        <w:gridCol w:w="2567"/>
        <w:gridCol w:w="460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85" w:hRule="atLeast"/>
        </w:trPr>
        <w:tc>
          <w:tcPr>
            <w:tcW w:w="1869" w:type="dxa"/>
            <w:tcBorders>
              <w:tl2br w:val="nil"/>
              <w:tr2bl w:val="nil"/>
            </w:tcBorders>
            <w:shd w:val="clear" w:color="auto" w:fill="FFFFFF" w:themeFill="background1"/>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产品模块</w:t>
            </w:r>
          </w:p>
        </w:tc>
        <w:tc>
          <w:tcPr>
            <w:tcW w:w="2567" w:type="dxa"/>
            <w:tcBorders>
              <w:tl2br w:val="nil"/>
              <w:tr2bl w:val="nil"/>
            </w:tcBorders>
            <w:shd w:val="clear" w:color="auto" w:fill="FFFFFF" w:themeFill="background1"/>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产品子模块</w:t>
            </w:r>
          </w:p>
        </w:tc>
        <w:tc>
          <w:tcPr>
            <w:tcW w:w="4603" w:type="dxa"/>
            <w:tcBorders>
              <w:tl2br w:val="nil"/>
              <w:tr2bl w:val="nil"/>
            </w:tcBorders>
            <w:shd w:val="clear" w:color="auto" w:fill="FFFFFF" w:themeFill="background1"/>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参数要求</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084" w:hRule="atLeast"/>
        </w:trPr>
        <w:tc>
          <w:tcPr>
            <w:tcW w:w="1869"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单病种质量控制</w:t>
            </w:r>
          </w:p>
        </w:tc>
        <w:tc>
          <w:tcPr>
            <w:tcW w:w="2567"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单病种质量控制</w:t>
            </w:r>
          </w:p>
        </w:tc>
        <w:tc>
          <w:tcPr>
            <w:tcW w:w="4603"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提供单病种质量控制指标的临床上报功能，临床医生可以在单病种病人出院（死亡）后10天内，进行《单病种质量控制指标数据上报表》的登记和上报。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426" w:hRule="atLeast"/>
        </w:trPr>
        <w:tc>
          <w:tcPr>
            <w:tcW w:w="1869" w:type="dxa"/>
            <w:vMerge w:val="restart"/>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单病种质量控制指标审核</w:t>
            </w:r>
          </w:p>
        </w:tc>
        <w:tc>
          <w:tcPr>
            <w:tcW w:w="2567"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单病种上报审核</w:t>
            </w:r>
          </w:p>
        </w:tc>
        <w:tc>
          <w:tcPr>
            <w:tcW w:w="4603"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提供单病种管理办公室对临床上报的单病种病例进行审核，以发现误报病例和上报的单病种质量指标存在的问题。</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426" w:hRule="atLeast"/>
        </w:trPr>
        <w:tc>
          <w:tcPr>
            <w:tcW w:w="1869" w:type="dxa"/>
            <w:vMerge w:val="continue"/>
            <w:tcBorders>
              <w:tl2br w:val="nil"/>
              <w:tr2bl w:val="nil"/>
            </w:tcBorders>
            <w:shd w:val="clear" w:color="auto" w:fill="auto"/>
            <w:vAlign w:val="center"/>
          </w:tcPr>
          <w:p>
            <w:pPr>
              <w:numPr>
                <w:ilvl w:val="1"/>
                <w:numId w:val="4"/>
              </w:numPr>
              <w:spacing w:line="360" w:lineRule="auto"/>
              <w:rPr>
                <w:rFonts w:hint="eastAsia" w:ascii="宋体" w:hAnsi="宋体" w:eastAsia="宋体" w:cs="宋体"/>
                <w:sz w:val="28"/>
                <w:szCs w:val="28"/>
              </w:rPr>
            </w:pPr>
          </w:p>
        </w:tc>
        <w:tc>
          <w:tcPr>
            <w:tcW w:w="2567"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单病种病例查询</w:t>
            </w:r>
          </w:p>
        </w:tc>
        <w:tc>
          <w:tcPr>
            <w:tcW w:w="4603"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支持从各科室的出院（死亡）诊断中查询出所有符合上报条件的单病种病例，未上报的即为漏报病例。</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56" w:hRule="atLeast"/>
        </w:trPr>
        <w:tc>
          <w:tcPr>
            <w:tcW w:w="1869" w:type="dxa"/>
            <w:vMerge w:val="continue"/>
            <w:tcBorders>
              <w:tl2br w:val="nil"/>
              <w:tr2bl w:val="nil"/>
            </w:tcBorders>
            <w:shd w:val="clear" w:color="auto" w:fill="auto"/>
            <w:vAlign w:val="center"/>
          </w:tcPr>
          <w:p>
            <w:pPr>
              <w:numPr>
                <w:ilvl w:val="1"/>
                <w:numId w:val="4"/>
              </w:numPr>
              <w:spacing w:line="360" w:lineRule="auto"/>
              <w:rPr>
                <w:rFonts w:hint="eastAsia" w:ascii="宋体" w:hAnsi="宋体" w:eastAsia="宋体" w:cs="宋体"/>
                <w:sz w:val="28"/>
                <w:szCs w:val="28"/>
              </w:rPr>
            </w:pPr>
          </w:p>
        </w:tc>
        <w:tc>
          <w:tcPr>
            <w:tcW w:w="2567"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单病种上报管理</w:t>
            </w:r>
          </w:p>
        </w:tc>
        <w:tc>
          <w:tcPr>
            <w:tcW w:w="4603"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支持单病种管理办公室对临床上报的记录进行管理。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56" w:hRule="atLeast"/>
        </w:trPr>
        <w:tc>
          <w:tcPr>
            <w:tcW w:w="1869"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单病种质量控制指标分析</w:t>
            </w:r>
          </w:p>
        </w:tc>
        <w:tc>
          <w:tcPr>
            <w:tcW w:w="2567"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单病种质量控制指标分析</w:t>
            </w:r>
          </w:p>
        </w:tc>
        <w:tc>
          <w:tcPr>
            <w:tcW w:w="4603"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支持分析单病种的相关指标，给临床和管理以决策支持</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71" w:hRule="atLeast"/>
        </w:trPr>
        <w:tc>
          <w:tcPr>
            <w:tcW w:w="1869"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单病种质量控制指标报表</w:t>
            </w:r>
          </w:p>
        </w:tc>
        <w:tc>
          <w:tcPr>
            <w:tcW w:w="2567"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单病种质量控制指标报表</w:t>
            </w:r>
          </w:p>
        </w:tc>
        <w:tc>
          <w:tcPr>
            <w:tcW w:w="4603" w:type="dxa"/>
            <w:tcBorders>
              <w:tl2br w:val="nil"/>
              <w:tr2bl w:val="nil"/>
            </w:tcBorders>
            <w:shd w:val="clear" w:color="auto" w:fill="auto"/>
            <w:vAlign w:val="center"/>
          </w:tcPr>
          <w:p>
            <w:pPr>
              <w:spacing w:line="360" w:lineRule="auto"/>
              <w:rPr>
                <w:rFonts w:hint="eastAsia" w:ascii="宋体" w:hAnsi="宋体" w:eastAsia="宋体" w:cs="宋体"/>
                <w:sz w:val="28"/>
                <w:szCs w:val="28"/>
              </w:rPr>
            </w:pPr>
            <w:r>
              <w:rPr>
                <w:rFonts w:hint="eastAsia" w:ascii="宋体" w:hAnsi="宋体" w:eastAsia="宋体" w:cs="宋体"/>
                <w:sz w:val="28"/>
                <w:szCs w:val="28"/>
              </w:rPr>
              <w:t>支持统计呈现单病种的相关报表</w:t>
            </w:r>
          </w:p>
        </w:tc>
      </w:tr>
    </w:tbl>
    <w:p>
      <w:pPr>
        <w:pStyle w:val="2"/>
        <w:pageBreakBefore w:val="0"/>
        <w:numPr>
          <w:ilvl w:val="0"/>
          <w:numId w:val="0"/>
        </w:numPr>
        <w:spacing w:line="360" w:lineRule="auto"/>
        <w:ind w:leftChars="200"/>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项目实施要求</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（1）建设周期：自合同签订之日起3个月内完成改造安装及调试并交付使用；</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（2）投标方需提供项目详尽的实施方案和实施进度表。</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3）本项目是在当前已用系统基础上进行的功能扩展改造，投标人应承诺在不更换现有系统基础上进行功能开发。同时投标人应在系统实施方案中描述具体的实施团队的组成、工作的内容、投入人员、项目进程表及采购人的配合等内容。在所有工作开展之前，公司的实施人员应制定一套完整科学可行的实施方案，作为工程实施的总体计划和步骤。实施方案内容大致包括：</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1 \* GB3</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①</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组织保障安排：成立领导小组，领导小组中的责任分工等。</w:t>
      </w:r>
    </w:p>
    <w:p>
      <w:pPr>
        <w:keepNext/>
        <w:keepLines/>
        <w:spacing w:line="360" w:lineRule="auto"/>
        <w:ind w:firstLine="482"/>
        <w:jc w:val="left"/>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2 \* GB3</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②</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制定具体的实施流程、实施内容。</w:t>
      </w:r>
    </w:p>
    <w:p>
      <w:pPr>
        <w:pStyle w:val="2"/>
        <w:pageBreakBefore w:val="0"/>
        <w:numPr>
          <w:ilvl w:val="0"/>
          <w:numId w:val="0"/>
        </w:numPr>
        <w:spacing w:line="360" w:lineRule="auto"/>
        <w:ind w:leftChars="20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验收要求</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本项目由中标人提出申请，招标人组织验收。验收合格，双方签字确认后视为实施完成。</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验收标准：招标文件、投标文件、合同规定的标准。</w:t>
      </w:r>
    </w:p>
    <w:p>
      <w:pPr>
        <w:pStyle w:val="2"/>
        <w:pageBreakBefore w:val="0"/>
        <w:numPr>
          <w:ilvl w:val="0"/>
          <w:numId w:val="0"/>
        </w:numPr>
        <w:spacing w:line="360" w:lineRule="auto"/>
        <w:ind w:leftChars="200"/>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培训要求</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中标方必须向招标方提供免费培训，培训方式应包括理论培训和现场培训。中标方须针对不同的培训对象，在投标文件中提出全面、详细的培训计划，包括但不限于培训内容、培训时间、地点、授课老师等。</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中标方派出的培训教员应具备丰富的相同课程教学经验，所有的培训教员必须中文授课，中标方必须为所有被培训人员提供培训用文字资料和讲义等相关用品。</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中标方应按招标方约定合理地安排培训时间。</w:t>
      </w:r>
    </w:p>
    <w:p>
      <w:pPr>
        <w:pStyle w:val="2"/>
        <w:pageBreakBefore w:val="0"/>
        <w:numPr>
          <w:ilvl w:val="0"/>
          <w:numId w:val="0"/>
        </w:numPr>
        <w:spacing w:line="360" w:lineRule="auto"/>
        <w:ind w:leftChars="200"/>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售后要求</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中标方应具备与本项目匹配的服务能力，以响应招标人的技术服务要求。</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所有产品的质保期自本项目验收合格书签订之日起开始计算，提供一年的免费维护。</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工程建设期间及质保期均属于免费服务期，该期限内的所有售后服务，包括软件维护所产生的费用均由中标方承担。</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响应时间：中标方在投标文件中必须明确承诺售后服务响应时间，并不得低于以下标准：提供7×24电话或电子邮件服务，接到招标方报修通知2小时内做出明确响应和安排，8小时内做出故障诊断报告。如需现场服务的，具有解决故障能力的工程师应在接到报修通知次日到达现场。</w:t>
      </w:r>
    </w:p>
    <w:p>
      <w:pPr>
        <w:spacing w:line="360" w:lineRule="auto"/>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中标方在质保期满后向招标方提供如质保期内的售后服务，并经双方协商后收取相应费用。</w:t>
      </w:r>
    </w:p>
    <w:p>
      <w:pPr>
        <w:pStyle w:val="2"/>
        <w:pageBreakBefore w:val="0"/>
        <w:spacing w:line="360" w:lineRule="auto"/>
        <w:rPr>
          <w:rFonts w:hint="eastAsia" w:ascii="宋体" w:hAnsi="宋体" w:eastAsia="宋体" w:cs="宋体"/>
          <w:sz w:val="28"/>
          <w:szCs w:val="28"/>
        </w:rPr>
      </w:pPr>
      <w:r>
        <w:rPr>
          <w:rFonts w:hint="eastAsia" w:ascii="宋体" w:hAnsi="宋体" w:eastAsia="宋体" w:cs="宋体"/>
          <w:sz w:val="28"/>
          <w:szCs w:val="28"/>
        </w:rPr>
        <w:t>文档要求</w:t>
      </w:r>
    </w:p>
    <w:p>
      <w:pPr>
        <w:spacing w:line="360" w:lineRule="auto"/>
        <w:ind w:firstLine="480"/>
        <w:jc w:val="left"/>
        <w:rPr>
          <w:rFonts w:hint="eastAsia" w:ascii="宋体" w:hAnsi="宋体" w:eastAsia="宋体" w:cs="宋体"/>
          <w:sz w:val="28"/>
          <w:szCs w:val="28"/>
        </w:rPr>
      </w:pPr>
      <w:r>
        <w:rPr>
          <w:rFonts w:hint="eastAsia" w:ascii="宋体" w:hAnsi="宋体" w:eastAsia="宋体" w:cs="宋体"/>
          <w:color w:val="000000"/>
          <w:sz w:val="28"/>
          <w:szCs w:val="28"/>
        </w:rPr>
        <w:t>中标人必须提供完整的软件安装、操作、使用、测试、控制和维护手册。</w:t>
      </w:r>
    </w:p>
    <w:p>
      <w:pPr>
        <w:widowControl/>
        <w:ind w:firstLine="562" w:firstLineChars="200"/>
        <w:jc w:val="left"/>
        <w:rPr>
          <w:b/>
          <w:sz w:val="28"/>
          <w:szCs w:val="28"/>
        </w:rPr>
      </w:pPr>
      <w:r>
        <w:rPr>
          <w:b/>
          <w:sz w:val="28"/>
          <w:szCs w:val="28"/>
        </w:rPr>
        <w:br w:type="page"/>
      </w:r>
    </w:p>
    <w:p>
      <w:pPr>
        <w:pStyle w:val="6"/>
        <w:shd w:val="clear" w:color="auto" w:fill="FFFFFF"/>
        <w:spacing w:before="0" w:beforeAutospacing="0" w:after="150" w:afterAutospacing="0" w:line="360" w:lineRule="auto"/>
        <w:ind w:firstLine="480"/>
        <w:jc w:val="center"/>
        <w:rPr>
          <w:rFonts w:cs="Helvetica" w:asciiTheme="minorEastAsia" w:hAnsiTheme="minorEastAsia" w:eastAsiaTheme="minorEastAsia"/>
          <w:b/>
          <w:color w:val="333333"/>
          <w:sz w:val="28"/>
          <w:szCs w:val="28"/>
        </w:rPr>
      </w:pPr>
      <w:bookmarkStart w:id="2" w:name="OLE_LINK19"/>
      <w:bookmarkStart w:id="3" w:name="OLE_LINK16"/>
      <w:bookmarkStart w:id="4" w:name="OLE_LINK17"/>
      <w:bookmarkStart w:id="5" w:name="OLE_LINK20"/>
      <w:bookmarkStart w:id="6" w:name="OLE_LINK21"/>
      <w:bookmarkStart w:id="7" w:name="OLE_LINK15"/>
      <w:bookmarkStart w:id="8" w:name="OLE_LINK18"/>
      <w:r>
        <w:rPr>
          <w:rFonts w:hint="eastAsia" w:cs="Helvetica" w:asciiTheme="minorEastAsia" w:hAnsiTheme="minorEastAsia" w:eastAsiaTheme="minorEastAsia"/>
          <w:b/>
          <w:color w:val="333333"/>
          <w:sz w:val="28"/>
          <w:szCs w:val="28"/>
        </w:rPr>
        <w:t>第三章  评分标准</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706"/>
        <w:gridCol w:w="849"/>
        <w:gridCol w:w="6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rPr>
            </w:pPr>
            <w:r>
              <w:rPr>
                <w:rFonts w:hint="eastAsia" w:ascii="宋体" w:hAnsi="宋体" w:eastAsia="宋体" w:cs="Times New Roman"/>
                <w:b/>
                <w:kern w:val="0"/>
              </w:rPr>
              <w:t>序号</w:t>
            </w:r>
          </w:p>
        </w:tc>
        <w:tc>
          <w:tcPr>
            <w:tcW w:w="4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b/>
                <w:kern w:val="0"/>
              </w:rPr>
            </w:pPr>
            <w:r>
              <w:rPr>
                <w:rFonts w:hint="eastAsia" w:ascii="宋体" w:hAnsi="宋体" w:eastAsia="宋体" w:cs="Times New Roman"/>
                <w:b/>
                <w:kern w:val="0"/>
              </w:rPr>
              <w:t>评分项</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b/>
                <w:kern w:val="0"/>
              </w:rPr>
            </w:pPr>
            <w:r>
              <w:rPr>
                <w:rFonts w:hint="eastAsia" w:ascii="宋体" w:hAnsi="宋体" w:eastAsia="宋体" w:cs="Times New Roman"/>
                <w:b/>
                <w:kern w:val="0"/>
              </w:rPr>
              <w:t>分值（分）</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jc w:val="center"/>
              <w:rPr>
                <w:rFonts w:ascii="宋体" w:hAnsi="宋体" w:eastAsia="宋体" w:cs="Times New Roman"/>
                <w:b/>
                <w:kern w:val="0"/>
              </w:rPr>
            </w:pPr>
            <w:r>
              <w:rPr>
                <w:rFonts w:hint="eastAsia" w:ascii="宋体" w:hAnsi="宋体" w:eastAsia="宋体" w:cs="Times New Roman"/>
                <w:b/>
                <w:kern w:val="0"/>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b/>
                <w:kern w:val="0"/>
              </w:rPr>
            </w:pPr>
            <w:r>
              <w:rPr>
                <w:rFonts w:hint="eastAsia" w:ascii="宋体" w:hAnsi="宋体" w:eastAsia="宋体" w:cs="Times New Roman"/>
                <w:kern w:val="0"/>
              </w:rPr>
              <w:t>报价</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30</w:t>
            </w:r>
          </w:p>
        </w:tc>
        <w:tc>
          <w:tcPr>
            <w:tcW w:w="3855" w:type="pct"/>
            <w:tcBorders>
              <w:top w:val="single" w:color="auto" w:sz="4" w:space="0"/>
              <w:left w:val="single" w:color="auto" w:sz="4" w:space="0"/>
              <w:bottom w:val="single" w:color="auto" w:sz="4" w:space="0"/>
              <w:right w:val="single" w:color="auto" w:sz="4" w:space="0"/>
            </w:tcBorders>
          </w:tcPr>
          <w:p>
            <w:r>
              <w:rPr>
                <w:rFonts w:hint="eastAsia" w:ascii="宋体" w:hAnsi="宋体" w:eastAsia="宋体" w:cs="宋体"/>
                <w:szCs w:val="21"/>
              </w:rPr>
              <w:t>采用低价优先法计算，即满足磋商文件要求且最后报价最低的供应商价格为磋商基准价，其价格分为满分。项目评审过程中，不得去掉最后报价中的最高报价和最低报价。其他供应商的价格分统一按照下列公式计算：磋商报价得分=（磋商基准价/最后磋商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kern w:val="0"/>
              </w:rPr>
              <w:t>企业综合实力</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5</w:t>
            </w:r>
          </w:p>
        </w:tc>
        <w:tc>
          <w:tcPr>
            <w:tcW w:w="38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color w:val="000000"/>
                <w:kern w:val="0"/>
              </w:rPr>
              <w:t>投标人具有CMMI认证证书，5级得5分，4级得3分，其余不得分。提供相关证书原件扫描件，否则不得分。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rPr>
            </w:pP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5</w:t>
            </w:r>
          </w:p>
        </w:tc>
        <w:tc>
          <w:tcPr>
            <w:tcW w:w="38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宋体"/>
                <w:kern w:val="0"/>
              </w:rPr>
            </w:pPr>
            <w:r>
              <w:rPr>
                <w:rFonts w:hint="eastAsia" w:ascii="宋体" w:hAnsi="宋体" w:eastAsia="宋体" w:cs="宋体"/>
                <w:color w:val="0D0D0D" w:themeColor="text1" w:themeTint="F2"/>
                <w:kern w:val="0"/>
                <w14:textFill>
                  <w14:solidFill>
                    <w14:schemeClr w14:val="tx1">
                      <w14:lumMod w14:val="95000"/>
                      <w14:lumOff w14:val="5000"/>
                    </w14:schemeClr>
                  </w14:solidFill>
                </w14:textFill>
              </w:rPr>
              <w:t>投标人具有社会信用管理机构颁发的AAA级信用等级证书得5分。须提供由政府部门备案认可的信用评级机构评定颁发的相关证书复印件，否则不得分。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rPr>
            </w:pP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10</w:t>
            </w:r>
          </w:p>
        </w:tc>
        <w:tc>
          <w:tcPr>
            <w:tcW w:w="38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color w:val="000000"/>
                <w:kern w:val="0"/>
              </w:rPr>
            </w:pPr>
            <w:r>
              <w:rPr>
                <w:rFonts w:hint="eastAsia" w:ascii="宋体" w:hAnsi="宋体" w:eastAsia="宋体" w:cs="宋体"/>
                <w:kern w:val="0"/>
              </w:rPr>
              <w:t>投标人具有有效期内ISO9001、ISO14001、ISO45001</w:t>
            </w:r>
            <w:r>
              <w:rPr>
                <w:rFonts w:hint="eastAsia" w:ascii="宋体" w:hAnsi="宋体" w:eastAsia="宋体" w:cs="Times New Roman"/>
                <w:kern w:val="0"/>
              </w:rPr>
              <w:t>、</w:t>
            </w:r>
            <w:r>
              <w:rPr>
                <w:rFonts w:hint="eastAsia" w:ascii="宋体" w:hAnsi="宋体" w:eastAsia="宋体" w:cs="宋体"/>
                <w:kern w:val="0"/>
              </w:rPr>
              <w:t>ISO20000和ISO27001体系认证证书，且认证范围为医疗行业应用软件的（以证书认证范围包括“医疗卫生”或“医疗行业”等关键字为准）。</w:t>
            </w:r>
            <w:r>
              <w:rPr>
                <w:rFonts w:hint="eastAsia" w:ascii="宋体" w:hAnsi="宋体" w:eastAsia="宋体" w:cs="宋体"/>
                <w:color w:val="000000"/>
                <w:kern w:val="0"/>
              </w:rPr>
              <w:t>每提供1项得2分，最多得10分，以提供证书复印件为准。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kern w:val="0"/>
              </w:rPr>
              <w:t>项目业绩</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6</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投标人承建医院类似的项目业绩经验。每提供一个案例得2分，最高得6分。须提供项目合同复印件、中标通知书</w:t>
            </w:r>
            <w:r>
              <w:rPr>
                <w:rFonts w:hint="eastAsia" w:ascii="宋体" w:hAnsi="宋体" w:eastAsia="宋体" w:cs="Times New Roman"/>
                <w:kern w:val="0"/>
                <w:lang w:eastAsia="zh-CN"/>
              </w:rPr>
              <w:t>、</w:t>
            </w:r>
            <w:r>
              <w:rPr>
                <w:rFonts w:hint="eastAsia" w:ascii="宋体" w:hAnsi="宋体" w:eastAsia="宋体" w:cs="Times New Roman"/>
                <w:kern w:val="0"/>
                <w:lang w:val="en-US" w:eastAsia="zh-CN"/>
              </w:rPr>
              <w:t>验收报告</w:t>
            </w:r>
            <w:r>
              <w:rPr>
                <w:rFonts w:hint="eastAsia" w:ascii="宋体" w:hAnsi="宋体" w:eastAsia="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restart"/>
            <w:tcBorders>
              <w:top w:val="single" w:color="auto" w:sz="4" w:space="0"/>
              <w:left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kern w:val="0"/>
              </w:rPr>
              <w:t>研发能力</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2</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投标人具备招标内容的研发能力，以提供著作权登记证书复印件为准。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continue"/>
            <w:tcBorders>
              <w:left w:val="single" w:color="auto" w:sz="4" w:space="0"/>
              <w:right w:val="single" w:color="auto" w:sz="4" w:space="0"/>
            </w:tcBorders>
            <w:vAlign w:val="center"/>
          </w:tcPr>
          <w:p>
            <w:pPr>
              <w:widowControl/>
              <w:jc w:val="left"/>
              <w:rPr>
                <w:rFonts w:ascii="宋体" w:hAnsi="宋体" w:eastAsia="宋体" w:cs="Times New Roman"/>
                <w:kern w:val="0"/>
              </w:rPr>
            </w:pP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2</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投标人具有与医院共同研制开发医院信息系统相关产品经验，以软件著作权登记证书复印件为准（软件著作权人需能体现医院和投标人的相关信息），满足得2分，否则不得分。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kern w:val="0"/>
              </w:rPr>
              <w:t>总体设计方案</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5</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投标人对本项目建设背景、系统现状具有充分了解，并能理解本项目建设需求和目标；投标方案总体设计科学，技术路线清晰可行，并提出规范合理的总体设计方案，能满足业主方需求。评委根据投标方案内容进行酌情打分。</w:t>
            </w:r>
          </w:p>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第一档（5分）：对医院实际情况、信息化现状了解清晰，投标方案总体设计科学、技术路线清晰可行，满足业主方需求。</w:t>
            </w:r>
          </w:p>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第二档（4-3分）：对医院信息化现状有一定了解，能提出总体设计方案。</w:t>
            </w:r>
          </w:p>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第三档（2-1分）：对医院信息化现状了解一般，总体设计方案一般。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kern w:val="0"/>
              </w:rPr>
              <w:t>需求响应情况</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11</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投标人应充分理解本次项目的功能模块和业务需求，并提出合理的响应方案，能满足业主方需求。</w:t>
            </w:r>
          </w:p>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第一档（11-9分）：对招标要求充分理解,能完全满足招标需求。</w:t>
            </w:r>
          </w:p>
          <w:p>
            <w:pPr>
              <w:adjustRightInd w:val="0"/>
              <w:snapToGrid w:val="0"/>
              <w:spacing w:before="100" w:after="100"/>
              <w:rPr>
                <w:rFonts w:ascii="宋体" w:hAnsi="宋体" w:eastAsia="宋体" w:cs="Times New Roman"/>
                <w:kern w:val="0"/>
              </w:rPr>
            </w:pPr>
            <w:r>
              <w:rPr>
                <w:rFonts w:hint="eastAsia" w:ascii="宋体" w:hAnsi="宋体" w:eastAsia="宋体" w:cs="Times New Roman"/>
                <w:kern w:val="0"/>
              </w:rPr>
              <w:t>第二档（8-5分）：对招标要求基本响应，基本满足招标需求。</w:t>
            </w:r>
          </w:p>
          <w:p>
            <w:pPr>
              <w:adjustRightInd w:val="0"/>
              <w:snapToGrid w:val="0"/>
              <w:spacing w:before="100" w:after="100"/>
            </w:pPr>
            <w:r>
              <w:rPr>
                <w:rFonts w:hint="eastAsia" w:ascii="宋体" w:hAnsi="宋体" w:eastAsia="宋体" w:cs="Times New Roman"/>
                <w:kern w:val="0"/>
              </w:rPr>
              <w:t>第三档（4-1分）：对招标要求理解不清楚，与招标需求有偏差。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restart"/>
            <w:tcBorders>
              <w:top w:val="single" w:color="auto" w:sz="4" w:space="0"/>
              <w:left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kern w:val="0"/>
              </w:rPr>
              <w:t>项目服务保障</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8</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bCs/>
                <w:kern w:val="0"/>
              </w:rPr>
            </w:pPr>
            <w:r>
              <w:rPr>
                <w:rFonts w:hint="eastAsia" w:ascii="宋体" w:hAnsi="宋体" w:eastAsia="宋体" w:cs="Times New Roman"/>
                <w:bCs/>
                <w:kern w:val="0"/>
              </w:rPr>
              <w:t>投标人具有成熟可靠的项目实施标准规范，并具有必要的质量管理体系，能够遵循项目实施原则并根据项目建设实际需要合理安排项目建设进度和周期计划。评委根据实施方案阐述进行综合打分。</w:t>
            </w:r>
          </w:p>
          <w:p>
            <w:pPr>
              <w:adjustRightInd w:val="0"/>
              <w:snapToGrid w:val="0"/>
              <w:spacing w:before="100" w:after="100"/>
              <w:rPr>
                <w:rFonts w:ascii="宋体" w:hAnsi="宋体" w:eastAsia="宋体" w:cs="Times New Roman"/>
                <w:bCs/>
                <w:kern w:val="0"/>
              </w:rPr>
            </w:pPr>
            <w:r>
              <w:rPr>
                <w:rFonts w:hint="eastAsia" w:ascii="宋体" w:hAnsi="宋体" w:eastAsia="宋体" w:cs="Times New Roman"/>
                <w:bCs/>
                <w:kern w:val="0"/>
              </w:rPr>
              <w:t>第一档</w:t>
            </w:r>
            <w:r>
              <w:rPr>
                <w:rFonts w:hint="eastAsia" w:ascii="宋体" w:hAnsi="宋体" w:eastAsia="宋体" w:cs="Times New Roman"/>
                <w:kern w:val="0"/>
              </w:rPr>
              <w:t>（8-6</w:t>
            </w:r>
            <w:r>
              <w:rPr>
                <w:rFonts w:hint="eastAsia" w:ascii="宋体" w:hAnsi="宋体" w:eastAsia="宋体" w:cs="Times New Roman"/>
                <w:bCs/>
                <w:kern w:val="0"/>
              </w:rPr>
              <w:t>分）：项目实施标准规范，质量保证体系具有实际操作性。</w:t>
            </w:r>
          </w:p>
          <w:p>
            <w:pPr>
              <w:adjustRightInd w:val="0"/>
              <w:snapToGrid w:val="0"/>
              <w:spacing w:before="100" w:after="100"/>
              <w:rPr>
                <w:rFonts w:ascii="宋体" w:hAnsi="宋体" w:eastAsia="宋体" w:cs="Times New Roman"/>
                <w:bCs/>
                <w:kern w:val="0"/>
              </w:rPr>
            </w:pPr>
            <w:r>
              <w:rPr>
                <w:rFonts w:hint="eastAsia" w:ascii="宋体" w:hAnsi="宋体" w:eastAsia="宋体" w:cs="Times New Roman"/>
                <w:bCs/>
                <w:kern w:val="0"/>
              </w:rPr>
              <w:t>第二档</w:t>
            </w:r>
            <w:r>
              <w:rPr>
                <w:rFonts w:hint="eastAsia" w:ascii="宋体" w:hAnsi="宋体" w:eastAsia="宋体" w:cs="Times New Roman"/>
                <w:kern w:val="0"/>
              </w:rPr>
              <w:t>（5</w:t>
            </w:r>
            <w:r>
              <w:rPr>
                <w:rFonts w:hint="eastAsia" w:ascii="宋体" w:hAnsi="宋体" w:eastAsia="宋体" w:cs="Times New Roman"/>
                <w:bCs/>
                <w:kern w:val="0"/>
              </w:rPr>
              <w:t>-3分）：项目实施符合规范，质量管理体系基本可行。</w:t>
            </w:r>
          </w:p>
          <w:p>
            <w:pPr>
              <w:adjustRightInd w:val="0"/>
              <w:snapToGrid w:val="0"/>
              <w:spacing w:before="100" w:after="100"/>
              <w:rPr>
                <w:rFonts w:ascii="宋体" w:hAnsi="宋体" w:eastAsia="宋体" w:cs="Times New Roman"/>
                <w:kern w:val="0"/>
              </w:rPr>
            </w:pPr>
            <w:r>
              <w:rPr>
                <w:rFonts w:hint="eastAsia" w:ascii="宋体" w:hAnsi="宋体" w:eastAsia="宋体" w:cs="Times New Roman"/>
                <w:bCs/>
                <w:kern w:val="0"/>
              </w:rPr>
              <w:t>第三档</w:t>
            </w:r>
            <w:r>
              <w:rPr>
                <w:rFonts w:hint="eastAsia" w:ascii="宋体" w:hAnsi="宋体" w:eastAsia="宋体" w:cs="Times New Roman"/>
                <w:kern w:val="0"/>
              </w:rPr>
              <w:t>（2-</w:t>
            </w:r>
            <w:r>
              <w:rPr>
                <w:rFonts w:hint="eastAsia" w:ascii="宋体" w:hAnsi="宋体" w:eastAsia="宋体" w:cs="Times New Roman"/>
                <w:bCs/>
                <w:kern w:val="0"/>
              </w:rPr>
              <w:t>1分）：项目实施基本规范，质量管理体系理论可行。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continue"/>
            <w:tcBorders>
              <w:left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6</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color w:val="0D0D0D" w:themeColor="text1" w:themeTint="F2"/>
                <w:kern w:val="0"/>
                <w:szCs w:val="21"/>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kern w:val="0"/>
                <w:szCs w:val="21"/>
                <w14:textFill>
                  <w14:solidFill>
                    <w14:schemeClr w14:val="tx1">
                      <w14:lumMod w14:val="95000"/>
                      <w14:lumOff w14:val="5000"/>
                    </w14:schemeClr>
                  </w14:solidFill>
                </w14:textFill>
              </w:rPr>
              <w:t>投标人被省级或以上政府相关部门批准成立研发（或技术）中心、工程（或实施）中心，满足其中一项的得3分，两项均满足的得6分，须提供政府相关部门批准文件复印件，否则不得分。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vMerge w:val="continue"/>
            <w:tcBorders>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8</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ind w:left="105" w:hanging="105" w:hangingChars="50"/>
              <w:rPr>
                <w:rFonts w:ascii="宋体" w:hAnsi="宋体" w:eastAsia="宋体" w:cs="Times New Roman"/>
                <w:bCs/>
                <w:kern w:val="0"/>
              </w:rPr>
            </w:pPr>
            <w:r>
              <w:rPr>
                <w:rFonts w:hint="eastAsia" w:ascii="宋体" w:hAnsi="宋体" w:eastAsia="宋体" w:cs="Times New Roman"/>
                <w:bCs/>
                <w:kern w:val="0"/>
              </w:rPr>
              <w:t>投标人能够确保项目售后服务、培训质量，提供可行可靠的售后服务、培训方案。评委根据投标方案内容进行综合打分。</w:t>
            </w:r>
          </w:p>
          <w:p>
            <w:pPr>
              <w:adjustRightInd w:val="0"/>
              <w:snapToGrid w:val="0"/>
              <w:spacing w:before="100" w:after="100"/>
              <w:rPr>
                <w:rFonts w:ascii="宋体" w:hAnsi="宋体" w:eastAsia="宋体" w:cs="Times New Roman"/>
                <w:bCs/>
                <w:kern w:val="0"/>
              </w:rPr>
            </w:pPr>
            <w:r>
              <w:rPr>
                <w:rFonts w:hint="eastAsia" w:ascii="宋体" w:hAnsi="宋体" w:eastAsia="宋体" w:cs="Times New Roman"/>
                <w:bCs/>
                <w:kern w:val="0"/>
              </w:rPr>
              <w:t>第一档（8-6分）：方案详细、全面、可行，能够对项目的使用对象提供全面服务支持；</w:t>
            </w:r>
          </w:p>
          <w:p>
            <w:pPr>
              <w:adjustRightInd w:val="0"/>
              <w:snapToGrid w:val="0"/>
              <w:spacing w:before="100" w:after="100"/>
              <w:rPr>
                <w:rFonts w:ascii="宋体" w:hAnsi="宋体" w:eastAsia="宋体" w:cs="Times New Roman"/>
                <w:bCs/>
                <w:kern w:val="0"/>
              </w:rPr>
            </w:pPr>
            <w:r>
              <w:rPr>
                <w:rFonts w:hint="eastAsia" w:ascii="宋体" w:hAnsi="宋体" w:eastAsia="宋体" w:cs="Times New Roman"/>
                <w:bCs/>
                <w:kern w:val="0"/>
              </w:rPr>
              <w:t>第二档（5-3分）：方案基本可行，能及时响应服务需求不影响日常工作；</w:t>
            </w:r>
          </w:p>
          <w:p>
            <w:pPr>
              <w:adjustRightInd w:val="0"/>
              <w:snapToGrid w:val="0"/>
              <w:spacing w:before="100" w:after="100"/>
              <w:rPr>
                <w:rFonts w:ascii="宋体" w:hAnsi="宋体" w:eastAsia="宋体" w:cs="宋体"/>
                <w:color w:val="000000"/>
                <w:kern w:val="0"/>
              </w:rPr>
            </w:pPr>
            <w:r>
              <w:rPr>
                <w:rFonts w:hint="eastAsia" w:ascii="宋体" w:hAnsi="宋体" w:eastAsia="宋体" w:cs="Times New Roman"/>
                <w:bCs/>
                <w:kern w:val="0"/>
              </w:rPr>
              <w:t>第三档（2-1分）：方案较粗略，可行性较差；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 w:type="pct"/>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宋体" w:hAnsi="宋体" w:eastAsia="宋体"/>
                <w:kern w:val="0"/>
              </w:rPr>
            </w:pPr>
          </w:p>
        </w:tc>
        <w:tc>
          <w:tcPr>
            <w:tcW w:w="41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left"/>
              <w:rPr>
                <w:rFonts w:ascii="宋体" w:hAnsi="宋体" w:eastAsia="宋体" w:cs="Times New Roman"/>
                <w:kern w:val="0"/>
              </w:rPr>
            </w:pPr>
            <w:r>
              <w:rPr>
                <w:rFonts w:hint="eastAsia" w:ascii="宋体" w:hAnsi="宋体" w:eastAsia="宋体" w:cs="Times New Roman"/>
                <w:kern w:val="0"/>
              </w:rPr>
              <w:t>项目人员配备</w:t>
            </w:r>
          </w:p>
        </w:tc>
        <w:tc>
          <w:tcPr>
            <w:tcW w:w="4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after="100"/>
              <w:jc w:val="center"/>
              <w:rPr>
                <w:rFonts w:ascii="宋体" w:hAnsi="宋体" w:eastAsia="宋体" w:cs="Times New Roman"/>
                <w:kern w:val="0"/>
              </w:rPr>
            </w:pPr>
            <w:r>
              <w:rPr>
                <w:rFonts w:hint="eastAsia" w:ascii="宋体" w:hAnsi="宋体" w:eastAsia="宋体" w:cs="Times New Roman"/>
                <w:kern w:val="0"/>
              </w:rPr>
              <w:t>2</w:t>
            </w:r>
          </w:p>
        </w:tc>
        <w:tc>
          <w:tcPr>
            <w:tcW w:w="3855" w:type="pct"/>
            <w:tcBorders>
              <w:top w:val="single" w:color="auto" w:sz="4" w:space="0"/>
              <w:left w:val="single" w:color="auto" w:sz="4" w:space="0"/>
              <w:bottom w:val="single" w:color="auto" w:sz="4" w:space="0"/>
              <w:right w:val="single" w:color="auto" w:sz="4" w:space="0"/>
            </w:tcBorders>
          </w:tcPr>
          <w:p>
            <w:pPr>
              <w:adjustRightInd w:val="0"/>
              <w:snapToGrid w:val="0"/>
              <w:spacing w:before="100" w:after="100"/>
              <w:rPr>
                <w:rFonts w:ascii="宋体" w:hAnsi="宋体" w:eastAsia="宋体" w:cs="Times New Roman"/>
                <w:kern w:val="0"/>
              </w:rPr>
            </w:pPr>
            <w:r>
              <w:rPr>
                <w:rFonts w:hint="eastAsia" w:ascii="宋体" w:hAnsi="宋体" w:eastAsia="宋体" w:cs="宋体"/>
                <w:color w:val="000000"/>
                <w:kern w:val="0"/>
              </w:rPr>
              <w:t>投标人拟派的项目经理具有信息系统项目管理师（高级）及高级工程师资质，且具项目建设的项目经理经验。满足得2分，否则不得分。需提供人员的资质证书、用户证明及投标人为其缴纳的投标截止时间前3个月内任意一个月的社保证明材料。</w:t>
            </w:r>
          </w:p>
        </w:tc>
      </w:tr>
    </w:tbl>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6"/>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2"/>
    <w:bookmarkEnd w:id="3"/>
    <w:bookmarkEnd w:id="4"/>
    <w:bookmarkEnd w:id="5"/>
    <w:bookmarkEnd w:id="6"/>
    <w:bookmarkEnd w:id="7"/>
    <w:bookmarkEnd w:id="8"/>
    <w:p>
      <w:pPr>
        <w:jc w:val="center"/>
        <w:rPr>
          <w:b/>
          <w:sz w:val="28"/>
          <w:szCs w:val="28"/>
        </w:rPr>
      </w:pPr>
      <w:r>
        <w:rPr>
          <w:rFonts w:hint="eastAsia"/>
          <w:b/>
          <w:sz w:val="28"/>
          <w:szCs w:val="28"/>
        </w:rPr>
        <w:t>第四章响应文件附件部分格式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9" w:name="OLE_LINK22"/>
      <w:bookmarkStart w:id="10" w:name="OLE_LINK23"/>
      <w:bookmarkStart w:id="11" w:name="OLE_LINK24"/>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2" w:name="OLE_LINK30"/>
      <w:bookmarkStart w:id="13" w:name="OLE_LINK31"/>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b/>
          <w:sz w:val="28"/>
          <w:szCs w:val="28"/>
        </w:rPr>
      </w:pPr>
      <w:r>
        <w:rPr>
          <w:rFonts w:hint="eastAsia" w:ascii="宋体" w:hAnsi="宋体" w:eastAsia="宋体" w:cs="仿宋"/>
          <w:kern w:val="1"/>
          <w:sz w:val="32"/>
          <w:szCs w:val="32"/>
        </w:rPr>
        <w:t>二〇年月日</w:t>
      </w:r>
      <w:bookmarkEnd w:id="9"/>
      <w:bookmarkEnd w:id="10"/>
      <w:bookmarkEnd w:id="11"/>
      <w:bookmarkEnd w:id="12"/>
      <w:bookmarkEnd w:id="13"/>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28"/>
          <w:szCs w:val="28"/>
        </w:rPr>
      </w:pPr>
      <w:r>
        <w:rPr>
          <w:rFonts w:hint="eastAsia"/>
          <w:sz w:val="28"/>
          <w:szCs w:val="28"/>
        </w:rPr>
        <w:t>附件二</w:t>
      </w:r>
    </w:p>
    <w:p>
      <w:pPr>
        <w:pStyle w:val="10"/>
        <w:ind w:left="720" w:firstLine="562"/>
        <w:jc w:val="center"/>
        <w:rPr>
          <w:b/>
          <w:sz w:val="28"/>
          <w:szCs w:val="28"/>
        </w:rPr>
      </w:pPr>
      <w:r>
        <w:rPr>
          <w:rFonts w:hint="eastAsia"/>
          <w:b/>
          <w:sz w:val="28"/>
          <w:szCs w:val="28"/>
        </w:rPr>
        <w:t>投标函</w:t>
      </w:r>
    </w:p>
    <w:p>
      <w:pPr>
        <w:pStyle w:val="10"/>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bookmarkStart w:id="14" w:name="OLE_LINK25"/>
      <w:bookmarkStart w:id="15" w:name="OLE_LINK26"/>
      <w:bookmarkStart w:id="16" w:name="OLE_LINK32"/>
      <w:r>
        <w:rPr>
          <w:rFonts w:hint="eastAsia"/>
          <w:sz w:val="24"/>
          <w:szCs w:val="24"/>
        </w:rPr>
        <w:t>经研究，我方决定参加贵单位组织的项目（项目编号：）的投标。为此，我方郑重声明以下诸点，并负法律责任。</w:t>
      </w:r>
    </w:p>
    <w:bookmarkEnd w:id="14"/>
    <w:bookmarkEnd w:id="15"/>
    <w:bookmarkEnd w:id="16"/>
    <w:p>
      <w:pPr>
        <w:spacing w:line="360" w:lineRule="auto"/>
        <w:ind w:firstLine="480" w:firstLineChars="200"/>
        <w:rPr>
          <w:sz w:val="24"/>
          <w:szCs w:val="24"/>
        </w:rPr>
      </w:pPr>
      <w:r>
        <w:rPr>
          <w:rFonts w:hint="eastAsia"/>
          <w:sz w:val="24"/>
          <w:szCs w:val="24"/>
        </w:rPr>
        <w:t>1、我方提交的投标文件，正本一份，副本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供应商代表姓名、职务（印刷体）：</w:t>
      </w:r>
    </w:p>
    <w:p>
      <w:pPr>
        <w:spacing w:line="360" w:lineRule="auto"/>
        <w:ind w:firstLine="360" w:firstLineChars="150"/>
        <w:rPr>
          <w:sz w:val="24"/>
          <w:szCs w:val="24"/>
        </w:rPr>
      </w:pPr>
      <w:r>
        <w:rPr>
          <w:rFonts w:hint="eastAsia"/>
          <w:sz w:val="24"/>
          <w:szCs w:val="24"/>
        </w:rPr>
        <w:t>供应商单位（公章）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10"/>
        <w:ind w:left="720" w:firstLine="480"/>
        <w:rPr>
          <w:sz w:val="24"/>
          <w:szCs w:val="24"/>
        </w:rPr>
      </w:pPr>
    </w:p>
    <w:p>
      <w:pPr>
        <w:pStyle w:val="10"/>
        <w:ind w:left="720" w:firstLine="480"/>
        <w:rPr>
          <w:sz w:val="24"/>
          <w:szCs w:val="24"/>
        </w:rPr>
      </w:pPr>
    </w:p>
    <w:p>
      <w:pPr>
        <w:pStyle w:val="10"/>
        <w:ind w:left="720" w:firstLine="480"/>
        <w:rPr>
          <w:sz w:val="24"/>
          <w:szCs w:val="24"/>
        </w:rPr>
      </w:pPr>
    </w:p>
    <w:p>
      <w:pPr>
        <w:pStyle w:val="10"/>
        <w:ind w:left="720" w:firstLine="480"/>
        <w:rPr>
          <w:sz w:val="24"/>
          <w:szCs w:val="24"/>
        </w:rPr>
      </w:pPr>
    </w:p>
    <w:p>
      <w:pPr>
        <w:pStyle w:val="10"/>
        <w:ind w:left="720" w:firstLine="480"/>
        <w:rPr>
          <w:sz w:val="24"/>
          <w:szCs w:val="24"/>
        </w:rPr>
      </w:pPr>
      <w:r>
        <w:rPr>
          <w:rFonts w:hint="eastAsia"/>
          <w:sz w:val="24"/>
          <w:szCs w:val="24"/>
        </w:rPr>
        <w:t>年月日</w:t>
      </w:r>
    </w:p>
    <w:p>
      <w:pPr>
        <w:pStyle w:val="10"/>
        <w:ind w:left="720" w:firstLine="560"/>
        <w:rPr>
          <w:sz w:val="28"/>
          <w:szCs w:val="28"/>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0"/>
        <w:ind w:left="720" w:firstLine="562"/>
        <w:jc w:val="center"/>
        <w:rPr>
          <w:b/>
          <w:sz w:val="28"/>
          <w:szCs w:val="28"/>
        </w:rPr>
      </w:pPr>
      <w:r>
        <w:rPr>
          <w:rFonts w:hint="eastAsia"/>
          <w:b/>
          <w:sz w:val="28"/>
          <w:szCs w:val="28"/>
        </w:rPr>
        <w:t>法定代表人授权委托书</w:t>
      </w:r>
    </w:p>
    <w:p>
      <w:pPr>
        <w:pStyle w:val="10"/>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0"/>
        <w:spacing w:line="360" w:lineRule="auto"/>
        <w:ind w:left="720" w:firstLine="480"/>
        <w:rPr>
          <w:sz w:val="24"/>
          <w:szCs w:val="24"/>
        </w:rPr>
      </w:pPr>
      <w:r>
        <w:rPr>
          <w:rFonts w:hint="eastAsia"/>
          <w:sz w:val="24"/>
          <w:szCs w:val="24"/>
        </w:rPr>
        <w:t>声明：我 __（姓名）系</w:t>
      </w:r>
      <w:r>
        <w:rPr>
          <w:rFonts w:hint="eastAsia"/>
          <w:sz w:val="24"/>
          <w:szCs w:val="24"/>
          <w:u w:val="single"/>
        </w:rPr>
        <w:t>（</w:t>
      </w:r>
      <w:r>
        <w:rPr>
          <w:rFonts w:hint="eastAsia"/>
          <w:sz w:val="24"/>
          <w:szCs w:val="24"/>
        </w:rPr>
        <w:t>投标单位名称）的法定代表人，现授权委托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10"/>
        <w:spacing w:line="360" w:lineRule="auto"/>
        <w:ind w:left="720" w:firstLine="480"/>
        <w:rPr>
          <w:sz w:val="24"/>
          <w:szCs w:val="24"/>
        </w:rPr>
      </w:pPr>
    </w:p>
    <w:p>
      <w:pPr>
        <w:pStyle w:val="10"/>
        <w:spacing w:line="360" w:lineRule="auto"/>
        <w:ind w:left="720" w:firstLine="480"/>
        <w:rPr>
          <w:sz w:val="24"/>
          <w:szCs w:val="24"/>
        </w:rPr>
      </w:pPr>
      <w:r>
        <w:rPr>
          <w:rFonts w:hint="eastAsia"/>
          <w:sz w:val="24"/>
          <w:szCs w:val="24"/>
        </w:rPr>
        <w:t>代理人：性别：年龄：</w:t>
      </w:r>
    </w:p>
    <w:p>
      <w:pPr>
        <w:pStyle w:val="10"/>
        <w:spacing w:line="360" w:lineRule="auto"/>
        <w:ind w:left="720" w:firstLine="480"/>
        <w:rPr>
          <w:sz w:val="24"/>
          <w:szCs w:val="24"/>
        </w:rPr>
      </w:pPr>
      <w:r>
        <w:rPr>
          <w:rFonts w:hint="eastAsia"/>
          <w:sz w:val="24"/>
          <w:szCs w:val="24"/>
        </w:rPr>
        <w:t>单位：部门：职务：</w:t>
      </w:r>
    </w:p>
    <w:p>
      <w:pPr>
        <w:pStyle w:val="10"/>
        <w:spacing w:line="360" w:lineRule="auto"/>
        <w:ind w:left="720" w:firstLine="480"/>
        <w:rPr>
          <w:sz w:val="24"/>
          <w:szCs w:val="24"/>
        </w:rPr>
      </w:pPr>
      <w:r>
        <w:rPr>
          <w:rFonts w:hint="eastAsia"/>
          <w:sz w:val="24"/>
          <w:szCs w:val="24"/>
        </w:rPr>
        <w:t>代理人无转委托权。特此委托。</w:t>
      </w:r>
    </w:p>
    <w:p>
      <w:pPr>
        <w:pStyle w:val="10"/>
        <w:spacing w:line="360" w:lineRule="auto"/>
        <w:ind w:left="720" w:firstLine="480"/>
        <w:rPr>
          <w:sz w:val="24"/>
          <w:szCs w:val="24"/>
        </w:rPr>
      </w:pPr>
    </w:p>
    <w:p>
      <w:pPr>
        <w:pStyle w:val="10"/>
        <w:spacing w:line="360" w:lineRule="auto"/>
        <w:ind w:left="720" w:firstLine="480"/>
        <w:rPr>
          <w:sz w:val="24"/>
          <w:szCs w:val="24"/>
        </w:rPr>
      </w:pPr>
      <w:r>
        <w:rPr>
          <w:rFonts w:hint="eastAsia"/>
          <w:sz w:val="24"/>
          <w:szCs w:val="24"/>
        </w:rPr>
        <w:t>供应商名称：（盖章）</w:t>
      </w:r>
    </w:p>
    <w:p>
      <w:pPr>
        <w:pStyle w:val="10"/>
        <w:spacing w:line="360" w:lineRule="auto"/>
        <w:ind w:left="720" w:firstLine="480"/>
        <w:rPr>
          <w:sz w:val="24"/>
          <w:szCs w:val="24"/>
        </w:rPr>
      </w:pPr>
      <w:r>
        <w:rPr>
          <w:rFonts w:hint="eastAsia"/>
          <w:sz w:val="24"/>
          <w:szCs w:val="24"/>
        </w:rPr>
        <w:t>法定代表人签字：</w:t>
      </w:r>
    </w:p>
    <w:p>
      <w:pPr>
        <w:pStyle w:val="10"/>
        <w:spacing w:line="360" w:lineRule="auto"/>
        <w:ind w:left="720" w:firstLine="480"/>
        <w:rPr>
          <w:sz w:val="24"/>
          <w:szCs w:val="24"/>
        </w:rPr>
      </w:pPr>
    </w:p>
    <w:p>
      <w:pPr>
        <w:pStyle w:val="10"/>
        <w:spacing w:line="360" w:lineRule="auto"/>
        <w:ind w:left="720" w:firstLine="480"/>
        <w:rPr>
          <w:sz w:val="24"/>
          <w:szCs w:val="24"/>
        </w:rPr>
      </w:pPr>
    </w:p>
    <w:p>
      <w:pPr>
        <w:pStyle w:val="10"/>
        <w:spacing w:line="360" w:lineRule="auto"/>
        <w:ind w:left="720" w:firstLine="480"/>
        <w:rPr>
          <w:sz w:val="24"/>
          <w:szCs w:val="24"/>
        </w:rPr>
      </w:pPr>
    </w:p>
    <w:p>
      <w:pPr>
        <w:pStyle w:val="10"/>
        <w:spacing w:line="360" w:lineRule="auto"/>
        <w:ind w:left="720" w:firstLine="480"/>
        <w:rPr>
          <w:sz w:val="24"/>
          <w:szCs w:val="24"/>
        </w:rPr>
      </w:pPr>
    </w:p>
    <w:p>
      <w:pPr>
        <w:pStyle w:val="10"/>
        <w:ind w:left="720" w:firstLine="480"/>
        <w:rPr>
          <w:sz w:val="24"/>
          <w:szCs w:val="24"/>
        </w:rPr>
      </w:pPr>
    </w:p>
    <w:p>
      <w:pPr>
        <w:pStyle w:val="10"/>
        <w:ind w:left="720" w:right="120" w:firstLine="480"/>
        <w:jc w:val="right"/>
        <w:rPr>
          <w:sz w:val="24"/>
          <w:szCs w:val="24"/>
        </w:rPr>
      </w:pPr>
      <w:r>
        <w:rPr>
          <w:rFonts w:hint="eastAsia"/>
          <w:sz w:val="24"/>
          <w:szCs w:val="24"/>
        </w:rPr>
        <w:t>年月日</w:t>
      </w:r>
    </w:p>
    <w:p>
      <w:pPr>
        <w:pStyle w:val="10"/>
        <w:ind w:left="720" w:firstLine="480"/>
        <w:rPr>
          <w:sz w:val="24"/>
          <w:szCs w:val="24"/>
        </w:rPr>
      </w:pPr>
    </w:p>
    <w:p>
      <w:pPr>
        <w:pStyle w:val="10"/>
        <w:ind w:left="720" w:firstLine="480"/>
        <w:rPr>
          <w:sz w:val="24"/>
          <w:szCs w:val="24"/>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ind w:firstLine="420" w:firstLineChars="150"/>
        <w:jc w:val="left"/>
        <w:rPr>
          <w:sz w:val="28"/>
          <w:szCs w:val="28"/>
        </w:rPr>
      </w:pPr>
      <w:r>
        <w:rPr>
          <w:rFonts w:hint="eastAsia"/>
          <w:sz w:val="28"/>
          <w:szCs w:val="28"/>
        </w:rPr>
        <w:t>附件四</w:t>
      </w:r>
    </w:p>
    <w:p>
      <w:pPr>
        <w:pStyle w:val="10"/>
        <w:ind w:left="720" w:firstLine="562"/>
        <w:jc w:val="center"/>
        <w:rPr>
          <w:b/>
          <w:sz w:val="28"/>
          <w:szCs w:val="28"/>
        </w:rPr>
      </w:pPr>
      <w:r>
        <w:rPr>
          <w:rFonts w:hint="eastAsia"/>
          <w:b/>
          <w:sz w:val="28"/>
          <w:szCs w:val="28"/>
        </w:rPr>
        <w:t>报价一览表</w:t>
      </w:r>
    </w:p>
    <w:p>
      <w:pPr>
        <w:pStyle w:val="10"/>
        <w:spacing w:line="360" w:lineRule="auto"/>
        <w:ind w:left="720" w:firstLine="560"/>
        <w:rPr>
          <w:sz w:val="28"/>
          <w:szCs w:val="28"/>
          <w:highlight w:val="yellow"/>
        </w:rPr>
      </w:pPr>
    </w:p>
    <w:p>
      <w:pPr>
        <w:spacing w:line="360" w:lineRule="auto"/>
        <w:ind w:firstLine="360" w:firstLineChars="150"/>
        <w:rPr>
          <w:sz w:val="24"/>
          <w:szCs w:val="24"/>
        </w:rPr>
      </w:pPr>
      <w:bookmarkStart w:id="17" w:name="OLE_LINK53"/>
      <w:bookmarkStart w:id="18" w:name="OLE_LINK54"/>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7"/>
    <w:bookmarkEnd w:id="18"/>
    <w:tbl>
      <w:tblPr>
        <w:tblStyle w:val="7"/>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质保期</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 xml:space="preserve">               年 </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903" w:firstLineChars="2450"/>
        <w:jc w:val="center"/>
        <w:rPr>
          <w:b/>
          <w:bCs/>
          <w:sz w:val="24"/>
          <w:szCs w:val="24"/>
        </w:rPr>
      </w:pPr>
      <w:r>
        <w:rPr>
          <w:rFonts w:hint="eastAsia"/>
          <w:b/>
          <w:bCs/>
          <w:sz w:val="24"/>
          <w:szCs w:val="24"/>
        </w:rPr>
        <w:t>年月日</w:t>
      </w:r>
    </w:p>
    <w:p>
      <w:pPr>
        <w:spacing w:line="360" w:lineRule="auto"/>
        <w:ind w:firstLine="361" w:firstLineChars="150"/>
        <w:jc w:val="center"/>
        <w:rPr>
          <w:rFonts w:hint="eastAsia"/>
          <w:b/>
          <w:bCs/>
          <w:sz w:val="24"/>
          <w:szCs w:val="24"/>
          <w:lang w:val="en-US" w:eastAsia="zh-CN"/>
        </w:rPr>
      </w:pPr>
    </w:p>
    <w:p>
      <w:pPr>
        <w:pStyle w:val="3"/>
        <w:spacing w:before="0" w:after="0"/>
        <w:rPr>
          <w:rFonts w:hint="eastAsia" w:ascii="宋体" w:hAnsi="宋体" w:eastAsia="宋体" w:cs="Times New Roman"/>
          <w:color w:val="000000"/>
          <w:sz w:val="28"/>
          <w:szCs w:val="28"/>
        </w:rPr>
      </w:pPr>
    </w:p>
    <w:p>
      <w:pPr>
        <w:pStyle w:val="3"/>
        <w:spacing w:before="0" w:after="0"/>
        <w:rPr>
          <w:rFonts w:hint="eastAsia" w:ascii="宋体" w:hAnsi="宋体" w:eastAsia="宋体" w:cs="Times New Roman"/>
          <w:color w:val="000000"/>
          <w:sz w:val="28"/>
          <w:szCs w:val="28"/>
        </w:rPr>
      </w:pPr>
    </w:p>
    <w:p>
      <w:pPr>
        <w:pStyle w:val="3"/>
        <w:spacing w:before="0" w:after="0"/>
        <w:rPr>
          <w:rFonts w:hint="eastAsia" w:ascii="宋体" w:hAnsi="宋体" w:eastAsia="宋体" w:cs="Times New Roman"/>
          <w:color w:val="000000"/>
          <w:sz w:val="28"/>
          <w:szCs w:val="28"/>
        </w:rPr>
      </w:pPr>
    </w:p>
    <w:p>
      <w:pPr>
        <w:pStyle w:val="3"/>
        <w:spacing w:before="0" w:after="0"/>
        <w:rPr>
          <w:rFonts w:hint="eastAsia" w:ascii="宋体" w:hAnsi="宋体" w:eastAsia="宋体" w:cs="Times New Roman"/>
          <w:color w:val="000000"/>
          <w:sz w:val="28"/>
          <w:szCs w:val="28"/>
        </w:rPr>
      </w:pPr>
    </w:p>
    <w:p>
      <w:pPr>
        <w:pStyle w:val="3"/>
        <w:spacing w:before="0" w:after="0"/>
        <w:rPr>
          <w:rFonts w:hint="eastAsia" w:ascii="宋体" w:hAnsi="宋体" w:eastAsia="宋体" w:cs="Times New Roman"/>
          <w:color w:val="000000"/>
          <w:sz w:val="28"/>
          <w:szCs w:val="28"/>
        </w:rPr>
      </w:pPr>
    </w:p>
    <w:p>
      <w:pPr>
        <w:pStyle w:val="3"/>
        <w:spacing w:before="0" w:after="0"/>
        <w:rPr>
          <w:rFonts w:ascii="宋体" w:hAnsi="宋体" w:eastAsia="宋体"/>
          <w:sz w:val="28"/>
          <w:szCs w:val="28"/>
        </w:rPr>
      </w:pPr>
      <w:r>
        <w:rPr>
          <w:rFonts w:hint="eastAsia" w:ascii="宋体" w:hAnsi="宋体" w:eastAsia="宋体" w:cs="Times New Roman"/>
          <w:color w:val="000000"/>
          <w:sz w:val="28"/>
          <w:szCs w:val="28"/>
        </w:rPr>
        <w:t>附件五</w:t>
      </w:r>
    </w:p>
    <w:p>
      <w:pPr>
        <w:pStyle w:val="4"/>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9" w:name="OLE_LINK55"/>
      <w:bookmarkStart w:id="20" w:name="OLE_LINK57"/>
      <w:bookmarkStart w:id="21" w:name="OLE_LINK56"/>
      <w:bookmarkStart w:id="22" w:name="OLE_LINK58"/>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7"/>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23" w:name="OLE_LINK43"/>
            <w:bookmarkStart w:id="24" w:name="OLE_LINK42"/>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9"/>
      <w:bookmarkEnd w:id="20"/>
      <w:bookmarkEnd w:id="21"/>
      <w:bookmarkEnd w:id="22"/>
      <w:bookmarkEnd w:id="23"/>
      <w:bookmarkEnd w:id="24"/>
    </w:tbl>
    <w:p>
      <w:pPr>
        <w:pStyle w:val="5"/>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5"/>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3"/>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3"/>
        <w:spacing w:before="0" w:after="0"/>
        <w:rPr>
          <w:rFonts w:ascii="宋体" w:hAnsi="宋体" w:eastAsia="宋体" w:cs="Times New Roman"/>
          <w:color w:val="000000"/>
          <w:sz w:val="24"/>
          <w:szCs w:val="24"/>
        </w:rPr>
      </w:pPr>
    </w:p>
    <w:p/>
    <w:p/>
    <w:p/>
    <w:p/>
    <w:p/>
    <w:p/>
    <w:p>
      <w:pPr>
        <w:pStyle w:val="3"/>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3"/>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7"/>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5"/>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5"/>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3"/>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3"/>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10"/>
        <w:ind w:left="0" w:leftChars="0" w:firstLine="0" w:firstLineChars="0"/>
        <w:jc w:val="center"/>
        <w:rPr>
          <w:rFonts w:hint="eastAsia"/>
          <w:b/>
          <w:sz w:val="28"/>
          <w:szCs w:val="28"/>
        </w:rPr>
      </w:pPr>
      <w:r>
        <w:rPr>
          <w:rFonts w:hint="eastAsia"/>
          <w:b/>
          <w:sz w:val="28"/>
          <w:szCs w:val="28"/>
        </w:rPr>
        <w:t>近三年同类业绩一览表</w:t>
      </w:r>
    </w:p>
    <w:p>
      <w:pPr>
        <w:pStyle w:val="10"/>
        <w:ind w:left="0" w:leftChars="0" w:firstLine="0" w:firstLineChars="0"/>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8"/>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w:t>
      </w:r>
      <w:r>
        <w:rPr>
          <w:rFonts w:hint="eastAsia" w:ascii="宋体" w:hAnsi="宋体" w:eastAsia="宋体"/>
          <w:b/>
          <w:sz w:val="24"/>
        </w:rPr>
        <w:t>类似项目业绩，需提供合同复印件（正文部分不得覆盖），</w:t>
      </w:r>
      <w:r>
        <w:rPr>
          <w:rFonts w:hint="eastAsia" w:ascii="宋体" w:hAnsi="宋体" w:eastAsia="宋体"/>
          <w:b/>
          <w:color w:val="FF0000"/>
          <w:sz w:val="24"/>
        </w:rPr>
        <w:t>开标时提交原件备查</w:t>
      </w:r>
      <w:r>
        <w:rPr>
          <w:rFonts w:hint="eastAsia" w:ascii="宋体" w:hAnsi="宋体" w:eastAsia="宋体"/>
          <w:b/>
          <w:color w:val="FF0000"/>
          <w:sz w:val="24"/>
          <w:lang w:eastAsia="zh-CN"/>
        </w:rPr>
        <w:t>（</w:t>
      </w:r>
      <w:r>
        <w:rPr>
          <w:rFonts w:hint="eastAsia" w:ascii="宋体" w:hAnsi="宋体" w:eastAsia="宋体"/>
          <w:b/>
          <w:color w:val="FF0000"/>
          <w:sz w:val="24"/>
          <w:lang w:val="en-US" w:eastAsia="zh-CN"/>
        </w:rPr>
        <w:t>中标通知书、合同、验收报告三者缺一不可</w:t>
      </w:r>
      <w:r>
        <w:rPr>
          <w:rFonts w:hint="eastAsia" w:ascii="宋体" w:hAnsi="宋体" w:eastAsia="宋体"/>
          <w:b/>
          <w:color w:val="FF0000"/>
          <w:sz w:val="24"/>
          <w:lang w:eastAsia="zh-CN"/>
        </w:rPr>
        <w:t>）</w:t>
      </w:r>
      <w:r>
        <w:rPr>
          <w:rFonts w:hint="eastAsia" w:ascii="宋体" w:hAnsi="宋体" w:eastAsia="宋体"/>
          <w:b/>
          <w:color w:val="FF0000"/>
          <w:sz w:val="24"/>
        </w:rPr>
        <w:t>。</w:t>
      </w:r>
    </w:p>
    <w:p>
      <w:pPr>
        <w:spacing w:line="241" w:lineRule="exact"/>
        <w:rPr>
          <w:rFonts w:ascii="Times New Roman" w:hAnsi="Times New Roman" w:eastAsia="Times New Roman"/>
        </w:rPr>
      </w:pPr>
    </w:p>
    <w:p>
      <w:pPr>
        <w:spacing w:line="353" w:lineRule="exact"/>
        <w:ind w:firstLine="240"/>
        <w:rPr>
          <w:rFonts w:ascii="宋体" w:hAnsi="宋体" w:eastAsia="宋体"/>
          <w:b/>
          <w:sz w:val="24"/>
        </w:rPr>
      </w:pP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10"/>
        <w:ind w:left="720" w:firstLine="560"/>
        <w:rPr>
          <w:sz w:val="28"/>
          <w:szCs w:val="28"/>
        </w:rPr>
      </w:pPr>
    </w:p>
    <w:p>
      <w:pPr>
        <w:pStyle w:val="10"/>
        <w:ind w:left="0" w:leftChars="0" w:firstLine="0" w:firstLineChars="0"/>
        <w:rPr>
          <w:sz w:val="28"/>
          <w:szCs w:val="28"/>
        </w:rPr>
      </w:pPr>
    </w:p>
    <w:p>
      <w:pPr>
        <w:ind w:firstLine="420" w:firstLineChars="150"/>
        <w:rPr>
          <w:rFonts w:hint="eastAsia"/>
          <w:sz w:val="28"/>
          <w:szCs w:val="28"/>
        </w:rPr>
      </w:pPr>
    </w:p>
    <w:p>
      <w:pPr>
        <w:ind w:firstLine="420" w:firstLineChars="150"/>
        <w:rPr>
          <w:sz w:val="28"/>
          <w:szCs w:val="28"/>
        </w:rPr>
      </w:pPr>
      <w:r>
        <w:rPr>
          <w:rFonts w:hint="eastAsia"/>
          <w:sz w:val="28"/>
          <w:szCs w:val="28"/>
        </w:rPr>
        <w:t>附件八</w:t>
      </w:r>
    </w:p>
    <w:p>
      <w:pPr>
        <w:pStyle w:val="10"/>
        <w:ind w:left="720" w:firstLine="562"/>
        <w:jc w:val="center"/>
        <w:rPr>
          <w:b/>
          <w:sz w:val="28"/>
          <w:szCs w:val="28"/>
        </w:rPr>
      </w:pPr>
      <w:r>
        <w:rPr>
          <w:rFonts w:hint="eastAsia"/>
          <w:b/>
          <w:sz w:val="28"/>
          <w:szCs w:val="28"/>
        </w:rPr>
        <w:t>无违规违法声明</w:t>
      </w:r>
    </w:p>
    <w:p>
      <w:pPr>
        <w:pStyle w:val="10"/>
        <w:ind w:left="720" w:firstLine="560"/>
        <w:rPr>
          <w:sz w:val="28"/>
          <w:szCs w:val="28"/>
        </w:rPr>
      </w:pPr>
    </w:p>
    <w:p>
      <w:pPr>
        <w:ind w:firstLine="560" w:firstLineChars="200"/>
        <w:rPr>
          <w:sz w:val="28"/>
          <w:szCs w:val="28"/>
        </w:rPr>
      </w:pPr>
      <w:r>
        <w:rPr>
          <w:rFonts w:hint="eastAsia"/>
          <w:sz w:val="28"/>
          <w:szCs w:val="28"/>
        </w:rPr>
        <w:t>（采购人）：</w:t>
      </w:r>
    </w:p>
    <w:p>
      <w:pPr>
        <w:pStyle w:val="10"/>
        <w:ind w:left="720" w:firstLine="560"/>
        <w:rPr>
          <w:sz w:val="28"/>
          <w:szCs w:val="28"/>
        </w:rPr>
      </w:pPr>
      <w:r>
        <w:rPr>
          <w:rFonts w:hint="eastAsia"/>
          <w:sz w:val="28"/>
          <w:szCs w:val="28"/>
        </w:rPr>
        <w:t>我公司承诺参加本次招标采购活动 3年内在经营活动中没有重大违法记录。</w:t>
      </w:r>
    </w:p>
    <w:p>
      <w:pPr>
        <w:pStyle w:val="10"/>
        <w:ind w:left="720" w:firstLine="560"/>
        <w:rPr>
          <w:sz w:val="28"/>
          <w:szCs w:val="28"/>
        </w:rPr>
      </w:pPr>
      <w:r>
        <w:rPr>
          <w:rFonts w:hint="eastAsia"/>
          <w:sz w:val="28"/>
          <w:szCs w:val="28"/>
        </w:rPr>
        <w:t>特此声明。</w:t>
      </w:r>
    </w:p>
    <w:p>
      <w:pPr>
        <w:pStyle w:val="10"/>
        <w:ind w:left="720" w:firstLine="560"/>
        <w:rPr>
          <w:sz w:val="28"/>
          <w:szCs w:val="28"/>
        </w:rPr>
      </w:pPr>
      <w:r>
        <w:rPr>
          <w:rFonts w:hint="eastAsia"/>
          <w:sz w:val="28"/>
          <w:szCs w:val="28"/>
        </w:rPr>
        <w:t>如果以上声明不真实，我方承担虚假响应的责任，中标无效，并按法律、法规的规定接受处罚。</w:t>
      </w:r>
    </w:p>
    <w:p>
      <w:pPr>
        <w:pStyle w:val="10"/>
        <w:ind w:left="720" w:firstLine="560"/>
        <w:rPr>
          <w:sz w:val="28"/>
          <w:szCs w:val="28"/>
        </w:rPr>
      </w:pPr>
    </w:p>
    <w:p>
      <w:pPr>
        <w:pStyle w:val="10"/>
        <w:ind w:left="720" w:firstLine="560"/>
        <w:rPr>
          <w:sz w:val="28"/>
          <w:szCs w:val="28"/>
        </w:rPr>
      </w:pPr>
      <w:r>
        <w:rPr>
          <w:rFonts w:hint="eastAsia"/>
          <w:sz w:val="28"/>
          <w:szCs w:val="28"/>
        </w:rPr>
        <w:t>供应商名称：（公章）</w:t>
      </w:r>
    </w:p>
    <w:p>
      <w:pPr>
        <w:pStyle w:val="10"/>
        <w:ind w:left="720" w:firstLine="560"/>
        <w:rPr>
          <w:sz w:val="28"/>
          <w:szCs w:val="28"/>
        </w:rPr>
      </w:pPr>
    </w:p>
    <w:p>
      <w:pPr>
        <w:pStyle w:val="1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pStyle w:val="10"/>
        <w:ind w:left="0" w:leftChars="0" w:firstLine="0" w:firstLineChars="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1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0"/>
        <w:ind w:left="720" w:firstLine="560"/>
        <w:rPr>
          <w:sz w:val="28"/>
          <w:szCs w:val="28"/>
        </w:rPr>
      </w:pPr>
      <w:r>
        <w:rPr>
          <w:rFonts w:hint="eastAsia"/>
          <w:sz w:val="28"/>
          <w:szCs w:val="28"/>
        </w:rPr>
        <w:t>本单位郑重承诺，我单位无以下不良信用记录情形：</w:t>
      </w:r>
    </w:p>
    <w:p>
      <w:pPr>
        <w:pStyle w:val="10"/>
        <w:ind w:left="720" w:firstLine="560"/>
        <w:rPr>
          <w:sz w:val="28"/>
          <w:szCs w:val="28"/>
        </w:rPr>
      </w:pPr>
      <w:r>
        <w:rPr>
          <w:rFonts w:hint="eastAsia"/>
          <w:sz w:val="28"/>
          <w:szCs w:val="28"/>
        </w:rPr>
        <w:t>1、被人民法院列入失信被执行人；</w:t>
      </w:r>
    </w:p>
    <w:p>
      <w:pPr>
        <w:pStyle w:val="10"/>
        <w:ind w:left="720" w:firstLine="560"/>
        <w:rPr>
          <w:sz w:val="28"/>
          <w:szCs w:val="28"/>
        </w:rPr>
      </w:pPr>
      <w:r>
        <w:rPr>
          <w:rFonts w:hint="eastAsia"/>
          <w:sz w:val="28"/>
          <w:szCs w:val="28"/>
        </w:rPr>
        <w:t>2、被税务部门列入重大税收违法案件当事人名单；</w:t>
      </w:r>
    </w:p>
    <w:p>
      <w:pPr>
        <w:pStyle w:val="10"/>
        <w:ind w:left="720" w:firstLine="560"/>
        <w:rPr>
          <w:sz w:val="28"/>
          <w:szCs w:val="28"/>
        </w:rPr>
      </w:pPr>
      <w:r>
        <w:rPr>
          <w:rFonts w:hint="eastAsia"/>
          <w:sz w:val="28"/>
          <w:szCs w:val="28"/>
        </w:rPr>
        <w:t>3、被政府采购监管部门列入政府采购严重违法失信行为记录名单；</w:t>
      </w:r>
    </w:p>
    <w:p>
      <w:pPr>
        <w:pStyle w:val="10"/>
        <w:ind w:left="720" w:firstLine="560"/>
        <w:rPr>
          <w:sz w:val="28"/>
          <w:szCs w:val="28"/>
        </w:rPr>
      </w:pPr>
      <w:r>
        <w:rPr>
          <w:rFonts w:hint="eastAsia"/>
          <w:sz w:val="28"/>
          <w:szCs w:val="28"/>
        </w:rPr>
        <w:t>4、不符合政府采购法第二十二条规定的条件。</w:t>
      </w:r>
    </w:p>
    <w:p>
      <w:pPr>
        <w:pStyle w:val="1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0"/>
        <w:ind w:left="720" w:firstLine="560"/>
        <w:rPr>
          <w:sz w:val="28"/>
          <w:szCs w:val="28"/>
        </w:rPr>
      </w:pPr>
      <w:r>
        <w:rPr>
          <w:rFonts w:hint="eastAsia"/>
          <w:sz w:val="28"/>
          <w:szCs w:val="28"/>
        </w:rPr>
        <w:t>供应商名称：（公章）</w:t>
      </w:r>
    </w:p>
    <w:p>
      <w:pPr>
        <w:pStyle w:val="10"/>
        <w:ind w:left="720" w:firstLine="560"/>
        <w:rPr>
          <w:sz w:val="28"/>
          <w:szCs w:val="28"/>
        </w:rPr>
      </w:pPr>
    </w:p>
    <w:p>
      <w:pPr>
        <w:pStyle w:val="1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0"/>
        <w:ind w:left="720" w:firstLine="560"/>
        <w:rPr>
          <w:sz w:val="28"/>
          <w:szCs w:val="28"/>
        </w:rPr>
      </w:pPr>
    </w:p>
    <w:p>
      <w:pPr>
        <w:pStyle w:val="10"/>
        <w:ind w:left="720" w:firstLine="560"/>
        <w:rPr>
          <w:sz w:val="28"/>
          <w:szCs w:val="28"/>
        </w:rPr>
      </w:pPr>
    </w:p>
    <w:p>
      <w:pPr>
        <w:pStyle w:val="10"/>
        <w:ind w:left="720" w:firstLine="560"/>
        <w:rPr>
          <w:sz w:val="28"/>
          <w:szCs w:val="28"/>
        </w:rPr>
      </w:pPr>
    </w:p>
    <w:p>
      <w:pPr>
        <w:ind w:firstLine="419" w:firstLineChars="149"/>
        <w:rPr>
          <w:b/>
          <w:sz w:val="28"/>
          <w:szCs w:val="28"/>
        </w:rPr>
      </w:pPr>
    </w:p>
    <w:p>
      <w:pPr>
        <w:pStyle w:val="5"/>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5"/>
        <w:ind w:left="0" w:leftChars="0"/>
        <w:jc w:val="center"/>
        <w:rPr>
          <w:rFonts w:ascii="宋体" w:hAnsi="宋体"/>
          <w:color w:val="000000"/>
        </w:rPr>
      </w:pPr>
      <w:r>
        <w:rPr>
          <w:rFonts w:hint="eastAsia" w:ascii="宋体" w:hAnsi="宋体"/>
          <w:b/>
          <w:color w:val="000000"/>
          <w:sz w:val="32"/>
          <w:szCs w:val="32"/>
        </w:rPr>
        <w:t>封面格式：</w:t>
      </w:r>
    </w:p>
    <w:tbl>
      <w:tblPr>
        <w:tblStyle w:val="7"/>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5"/>
              <w:ind w:firstLine="470"/>
              <w:jc w:val="left"/>
              <w:rPr>
                <w:rFonts w:ascii="宋体" w:hAnsi="宋体"/>
                <w:color w:val="000000"/>
              </w:rPr>
            </w:pPr>
          </w:p>
          <w:p>
            <w:pPr>
              <w:pStyle w:val="5"/>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5"/>
              <w:ind w:left="0" w:leftChars="0"/>
              <w:jc w:val="center"/>
              <w:rPr>
                <w:rFonts w:ascii="宋体" w:hAnsi="宋体"/>
                <w:b/>
                <w:color w:val="000000"/>
                <w:sz w:val="32"/>
                <w:szCs w:val="32"/>
              </w:rPr>
            </w:pPr>
            <w:r>
              <w:rPr>
                <w:rFonts w:hint="eastAsia" w:ascii="宋体" w:hAnsi="宋体"/>
                <w:b/>
                <w:color w:val="000000"/>
                <w:sz w:val="32"/>
                <w:szCs w:val="32"/>
              </w:rPr>
              <w:t>（正本）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p>
            <w:pPr>
              <w:pStyle w:val="5"/>
              <w:ind w:left="1588" w:leftChars="756" w:firstLine="378" w:firstLineChars="180"/>
              <w:jc w:val="left"/>
              <w:rPr>
                <w:rFonts w:ascii="宋体" w:hAnsi="宋体"/>
                <w:color w:val="000000"/>
              </w:rPr>
            </w:pPr>
          </w:p>
        </w:tc>
        <w:tc>
          <w:tcPr>
            <w:tcW w:w="4665" w:type="dxa"/>
          </w:tcPr>
          <w:p>
            <w:pPr>
              <w:pStyle w:val="5"/>
              <w:ind w:firstLine="470"/>
              <w:jc w:val="left"/>
              <w:rPr>
                <w:rFonts w:ascii="宋体" w:hAnsi="宋体"/>
                <w:color w:val="000000"/>
              </w:rPr>
            </w:pPr>
          </w:p>
          <w:p>
            <w:pPr>
              <w:pStyle w:val="5"/>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5"/>
              <w:ind w:left="0" w:leftChars="0"/>
              <w:jc w:val="center"/>
              <w:rPr>
                <w:rFonts w:ascii="宋体" w:hAnsi="宋体"/>
                <w:b/>
                <w:color w:val="000000"/>
                <w:sz w:val="32"/>
                <w:szCs w:val="32"/>
              </w:rPr>
            </w:pPr>
            <w:r>
              <w:rPr>
                <w:rFonts w:hint="eastAsia" w:ascii="宋体" w:hAnsi="宋体"/>
                <w:b/>
                <w:color w:val="000000"/>
                <w:sz w:val="32"/>
                <w:szCs w:val="32"/>
              </w:rPr>
              <w:t>（副本）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p>
            <w:pPr>
              <w:pStyle w:val="5"/>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5"/>
              <w:ind w:firstLine="590"/>
              <w:jc w:val="center"/>
              <w:rPr>
                <w:rFonts w:ascii="宋体" w:hAnsi="宋体"/>
                <w:b/>
                <w:color w:val="000000"/>
                <w:sz w:val="30"/>
              </w:rPr>
            </w:pPr>
          </w:p>
          <w:p>
            <w:pPr>
              <w:pStyle w:val="5"/>
              <w:ind w:left="0" w:leftChars="0"/>
              <w:jc w:val="center"/>
              <w:rPr>
                <w:rFonts w:ascii="宋体" w:hAnsi="宋体"/>
                <w:color w:val="000000"/>
                <w:sz w:val="30"/>
              </w:rPr>
            </w:pPr>
            <w:r>
              <w:rPr>
                <w:rFonts w:hint="eastAsia" w:ascii="宋体" w:hAnsi="宋体"/>
                <w:b/>
                <w:color w:val="000000"/>
                <w:sz w:val="32"/>
                <w:szCs w:val="32"/>
              </w:rPr>
              <w:t>报价一览表</w:t>
            </w:r>
          </w:p>
          <w:p>
            <w:pPr>
              <w:pStyle w:val="5"/>
              <w:ind w:firstLine="470"/>
              <w:jc w:val="center"/>
              <w:rPr>
                <w:rFonts w:ascii="宋体" w:hAnsi="宋体"/>
                <w:color w:val="000000"/>
              </w:rPr>
            </w:pPr>
          </w:p>
          <w:p>
            <w:pPr>
              <w:pStyle w:val="5"/>
              <w:ind w:left="0" w:leftChars="0"/>
              <w:jc w:val="center"/>
              <w:rPr>
                <w:rFonts w:ascii="宋体" w:hAnsi="宋体"/>
                <w:color w:val="000000"/>
              </w:rPr>
            </w:pPr>
            <w:r>
              <w:rPr>
                <w:rFonts w:hint="eastAsia" w:ascii="宋体" w:hAnsi="宋体"/>
                <w:color w:val="000000"/>
              </w:rPr>
              <w:t>项目编号：</w:t>
            </w:r>
          </w:p>
          <w:p>
            <w:pPr>
              <w:pStyle w:val="5"/>
              <w:ind w:left="0" w:leftChars="0"/>
              <w:jc w:val="center"/>
              <w:rPr>
                <w:rFonts w:ascii="宋体" w:hAnsi="宋体"/>
                <w:color w:val="000000"/>
              </w:rPr>
            </w:pPr>
            <w:r>
              <w:rPr>
                <w:rFonts w:hint="eastAsia" w:ascii="宋体" w:hAnsi="宋体"/>
                <w:color w:val="000000"/>
              </w:rPr>
              <w:t>项目名称：</w:t>
            </w:r>
          </w:p>
          <w:p>
            <w:pPr>
              <w:pStyle w:val="5"/>
              <w:ind w:left="0" w:leftChars="0"/>
              <w:jc w:val="center"/>
              <w:rPr>
                <w:rFonts w:ascii="宋体" w:hAnsi="宋体"/>
                <w:color w:val="000000"/>
              </w:rPr>
            </w:pPr>
            <w:r>
              <w:rPr>
                <w:rFonts w:hint="eastAsia" w:ascii="宋体" w:hAnsi="宋体"/>
                <w:color w:val="000000"/>
              </w:rPr>
              <w:t>所报包号：</w:t>
            </w:r>
          </w:p>
          <w:p>
            <w:pPr>
              <w:pStyle w:val="5"/>
              <w:ind w:left="0" w:leftChars="0"/>
              <w:jc w:val="center"/>
              <w:rPr>
                <w:rFonts w:ascii="宋体" w:hAnsi="宋体"/>
                <w:color w:val="000000"/>
              </w:rPr>
            </w:pPr>
            <w:r>
              <w:rPr>
                <w:rFonts w:hint="eastAsia" w:ascii="宋体" w:hAnsi="宋体"/>
                <w:color w:val="000000"/>
              </w:rPr>
              <w:t>供应商名称（公章）：</w:t>
            </w:r>
          </w:p>
          <w:p>
            <w:pPr>
              <w:pStyle w:val="5"/>
              <w:ind w:firstLine="470"/>
              <w:jc w:val="center"/>
              <w:rPr>
                <w:rFonts w:ascii="宋体" w:hAnsi="宋体"/>
                <w:color w:val="000000"/>
              </w:rPr>
            </w:pPr>
          </w:p>
        </w:tc>
      </w:tr>
    </w:tbl>
    <w:p>
      <w:pPr>
        <w:pStyle w:val="5"/>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7"/>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宋体" w:hAnsi="宋体"/>
                <w:color w:val="000000"/>
              </w:rPr>
            </w:pPr>
            <w:r>
              <w:rPr>
                <w:rFonts w:hint="eastAsia" w:ascii="宋体" w:hAnsi="宋体"/>
                <w:color w:val="000000"/>
              </w:rPr>
              <w:t>………………………于   年  月  日   时之前不准启封（公章）………………………</w:t>
            </w:r>
          </w:p>
        </w:tc>
      </w:tr>
    </w:tbl>
    <w:p>
      <w:pPr>
        <w:pStyle w:val="10"/>
        <w:ind w:left="720" w:firstLine="560"/>
        <w:rPr>
          <w:sz w:val="28"/>
          <w:szCs w:val="28"/>
        </w:rPr>
      </w:pPr>
    </w:p>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769E95F-DD03-4ABA-A6C0-28BB25EF422F}"/>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5D3CEE9C-2292-4EEF-93BE-D1E9CFD87420}"/>
  </w:font>
  <w:font w:name="方正小标宋简体">
    <w:panose1 w:val="02000000000000000000"/>
    <w:charset w:val="86"/>
    <w:family w:val="auto"/>
    <w:pitch w:val="default"/>
    <w:sig w:usb0="00000001" w:usb1="08000000" w:usb2="00000000" w:usb3="00000000" w:csb0="00040000" w:csb1="00000000"/>
    <w:embedRegular r:id="rId3" w:fontKey="{90B0919E-63EB-4544-B975-F97BF21F83EC}"/>
  </w:font>
  <w:font w:name="Helvetica">
    <w:altName w:val="Arial"/>
    <w:panose1 w:val="020B0604020202020204"/>
    <w:charset w:val="00"/>
    <w:family w:val="swiss"/>
    <w:pitch w:val="default"/>
    <w:sig w:usb0="00000000" w:usb1="00000000" w:usb2="00000000" w:usb3="00000000" w:csb0="00000001" w:csb1="00000000"/>
    <w:embedRegular r:id="rId4" w:fontKey="{0B7B2945-F7DF-4C80-A788-87C283B03999}"/>
  </w:font>
  <w:font w:name="Heiti SC Light">
    <w:altName w:val="红豆福牛迎春"/>
    <w:panose1 w:val="00000000000000000000"/>
    <w:charset w:val="50"/>
    <w:family w:val="auto"/>
    <w:pitch w:val="default"/>
    <w:sig w:usb0="00000000" w:usb1="00000000" w:usb2="00000010" w:usb3="00000000" w:csb0="00040000" w:csb1="00000000"/>
    <w:embedRegular r:id="rId5" w:fontKey="{BE7D84E7-494F-4988-9E7F-F39A31FC7872}"/>
  </w:font>
  <w:font w:name="红豆福牛迎春">
    <w:panose1 w:val="02000509000000000000"/>
    <w:charset w:val="86"/>
    <w:family w:val="auto"/>
    <w:pitch w:val="default"/>
    <w:sig w:usb0="00000001" w:usb1="0801041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29CF4"/>
    <w:multiLevelType w:val="multilevel"/>
    <w:tmpl w:val="A8329CF4"/>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3F547B"/>
    <w:multiLevelType w:val="multilevel"/>
    <w:tmpl w:val="5B3F547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C317E9"/>
    <w:multiLevelType w:val="multilevel"/>
    <w:tmpl w:val="62C317E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448ACE"/>
    <w:multiLevelType w:val="multilevel"/>
    <w:tmpl w:val="65448A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rPr>
        <w:i w:val="0"/>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9.1.2.%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A1112"/>
    <w:rsid w:val="10B16E58"/>
    <w:rsid w:val="2A317094"/>
    <w:rsid w:val="3769502C"/>
    <w:rsid w:val="3AAA6496"/>
    <w:rsid w:val="41DE3927"/>
    <w:rsid w:val="434972D9"/>
    <w:rsid w:val="48A05A06"/>
    <w:rsid w:val="6DE557E8"/>
    <w:rsid w:val="6F453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pageBreakBefore/>
      <w:numPr>
        <w:ilvl w:val="0"/>
        <w:numId w:val="1"/>
      </w:numPr>
      <w:spacing w:before="260" w:after="260" w:line="416" w:lineRule="auto"/>
      <w:ind w:left="840" w:leftChars="200"/>
      <w:outlineLvl w:val="2"/>
    </w:pPr>
    <w:rPr>
      <w:rFonts w:ascii="微软雅黑" w:hAnsi="微软雅黑" w:eastAsia="宋体" w:cs="微软雅黑"/>
      <w:b/>
      <w:bCs/>
      <w:sz w:val="28"/>
      <w:szCs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Body Text"/>
    <w:basedOn w:val="1"/>
    <w:qFormat/>
    <w:uiPriority w:val="0"/>
    <w:pPr>
      <w:spacing w:after="120"/>
    </w:pPr>
    <w:rPr>
      <w:szCs w:val="24"/>
    </w:rPr>
  </w:style>
  <w:style w:type="paragraph" w:styleId="5">
    <w:name w:val="Body Text Indent"/>
    <w:basedOn w:val="1"/>
    <w:unhideWhenUsed/>
    <w:qFormat/>
    <w:uiPriority w:val="99"/>
    <w:pPr>
      <w:spacing w:after="120"/>
      <w:ind w:left="420" w:leftChars="200"/>
    </w:p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font01"/>
    <w:basedOn w:val="9"/>
    <w:qFormat/>
    <w:uiPriority w:val="0"/>
    <w:rPr>
      <w:rFonts w:hint="default" w:ascii="仿宋_GB2312" w:eastAsia="仿宋_GB2312" w:cs="仿宋_GB2312"/>
      <w:color w:val="000000"/>
      <w:sz w:val="24"/>
      <w:szCs w:val="24"/>
      <w:u w:val="none"/>
    </w:rPr>
  </w:style>
  <w:style w:type="paragraph" w:customStyle="1" w:styleId="12">
    <w:name w:val="首行缩进"/>
    <w:basedOn w:val="1"/>
    <w:unhideWhenUsed/>
    <w:qFormat/>
    <w:uiPriority w:val="0"/>
    <w:pPr>
      <w:spacing w:line="360" w:lineRule="auto"/>
      <w:ind w:firstLine="480" w:firstLineChars="200"/>
    </w:pPr>
    <w:rPr>
      <w:rFonts w:hint="eastAsia" w:ascii="宋体" w:hAnsi="宋体" w:eastAsiaTheme="minorEastAsia" w:cstheme="minorBidi"/>
      <w:color w:val="auto"/>
      <w:kern w:val="0"/>
      <w:szCs w:val="22"/>
    </w:rPr>
  </w:style>
  <w:style w:type="character" w:customStyle="1" w:styleId="13">
    <w:name w:val="样式 仿宋"/>
    <w:qFormat/>
    <w:uiPriority w:val="99"/>
    <w:rPr>
      <w:rFonts w:hint="eastAsia" w:ascii="仿宋" w:hAnsi="仿宋" w:eastAsia="仿宋"/>
      <w:kern w:val="2"/>
    </w:rPr>
  </w:style>
  <w:style w:type="table" w:customStyle="1" w:styleId="14">
    <w:name w:val="表格框1"/>
    <w:basedOn w:val="7"/>
    <w:qFormat/>
    <w:uiPriority w:val="39"/>
    <w:rPr>
      <w:rFonts w:eastAsia="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2021-12-15T06:55:06Z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096C3D92404A48B8B17DF8F9D071DF68</vt:lpwstr>
  </property>
</Properties>
</file>