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numPr>
          <w:ilvl w:val="0"/>
          <w:numId w:val="0"/>
        </w:numPr>
        <w:ind w:leftChars="0"/>
        <w:jc w:val="center"/>
        <w:rPr>
          <w:rFonts w:hint="eastAsia" w:ascii="方正小标宋简体" w:hAnsi="方正小标宋简体" w:eastAsia="方正小标宋简体" w:cs="方正小标宋简体"/>
          <w:b/>
          <w:sz w:val="44"/>
          <w:szCs w:val="44"/>
          <w:lang w:val="en-US" w:eastAsia="zh-CN"/>
        </w:rPr>
      </w:pPr>
      <w:r>
        <w:rPr>
          <w:rFonts w:hint="eastAsia" w:ascii="方正小标宋简体" w:hAnsi="方正小标宋简体" w:eastAsia="方正小标宋简体" w:cs="方正小标宋简体"/>
          <w:b/>
          <w:sz w:val="44"/>
          <w:szCs w:val="44"/>
          <w:lang w:val="en-US" w:eastAsia="zh-CN"/>
        </w:rPr>
        <w:t>山东第一医科大学附属青岛眼科医院外联区域虚拟化平台项目竞争性磋商文件</w:t>
      </w:r>
    </w:p>
    <w:p>
      <w:pPr>
        <w:pStyle w:val="10"/>
        <w:numPr>
          <w:ilvl w:val="0"/>
          <w:numId w:val="1"/>
        </w:numPr>
        <w:ind w:firstLineChars="0"/>
        <w:jc w:val="center"/>
        <w:rPr>
          <w:b/>
          <w:sz w:val="28"/>
          <w:szCs w:val="28"/>
        </w:rPr>
      </w:pPr>
      <w:r>
        <w:rPr>
          <w:rFonts w:hint="eastAsia"/>
          <w:b/>
          <w:sz w:val="28"/>
          <w:szCs w:val="28"/>
        </w:rPr>
        <w:t>供应商须知</w:t>
      </w:r>
    </w:p>
    <w:p>
      <w:pPr>
        <w:keepNext w:val="0"/>
        <w:keepLines w:val="0"/>
        <w:pageBreakBefore w:val="0"/>
        <w:widowControl w:val="0"/>
        <w:kinsoku/>
        <w:wordWrap/>
        <w:overflowPunct/>
        <w:topLinePunct w:val="0"/>
        <w:autoSpaceDE/>
        <w:autoSpaceDN/>
        <w:bidi w:val="0"/>
        <w:adjustRightInd/>
        <w:snapToGrid/>
        <w:spacing w:line="360" w:lineRule="auto"/>
        <w:textAlignment w:val="auto"/>
        <w:rPr>
          <w:b/>
          <w:sz w:val="28"/>
          <w:szCs w:val="28"/>
        </w:rPr>
      </w:pPr>
      <w:r>
        <w:rPr>
          <w:rFonts w:hint="eastAsia"/>
          <w:b/>
          <w:sz w:val="28"/>
          <w:szCs w:val="28"/>
        </w:rPr>
        <w:t>一、供应商资格</w:t>
      </w:r>
    </w:p>
    <w:p>
      <w:pPr>
        <w:spacing w:line="360" w:lineRule="auto"/>
        <w:ind w:firstLine="420" w:firstLineChars="150"/>
        <w:rPr>
          <w:rFonts w:hint="eastAsia"/>
          <w:sz w:val="28"/>
          <w:szCs w:val="28"/>
        </w:rPr>
      </w:pPr>
      <w:r>
        <w:rPr>
          <w:rFonts w:hint="eastAsia"/>
          <w:sz w:val="28"/>
          <w:szCs w:val="28"/>
        </w:rPr>
        <w:t>1、在中国境内注册、具有能独立法人资格、能独立承担民事责任的合法企业；</w:t>
      </w:r>
    </w:p>
    <w:p>
      <w:pPr>
        <w:spacing w:line="360" w:lineRule="auto"/>
        <w:ind w:firstLine="420" w:firstLineChars="150"/>
        <w:rPr>
          <w:rFonts w:hint="eastAsia"/>
          <w:sz w:val="28"/>
          <w:szCs w:val="28"/>
        </w:rPr>
      </w:pPr>
      <w:r>
        <w:rPr>
          <w:rFonts w:hint="eastAsia"/>
          <w:sz w:val="28"/>
          <w:szCs w:val="28"/>
        </w:rPr>
        <w:t>2、参加本次招标活动前3年内，在经营活动中没有重大违法记录；</w:t>
      </w:r>
    </w:p>
    <w:p>
      <w:pPr>
        <w:spacing w:line="360" w:lineRule="auto"/>
        <w:ind w:firstLine="420" w:firstLineChars="150"/>
        <w:rPr>
          <w:rFonts w:hint="eastAsia"/>
          <w:sz w:val="28"/>
          <w:szCs w:val="28"/>
        </w:rPr>
      </w:pPr>
      <w:r>
        <w:rPr>
          <w:rFonts w:hint="eastAsia"/>
          <w:sz w:val="28"/>
          <w:szCs w:val="28"/>
        </w:rPr>
        <w:t>3、具有健全的财务会计制度和良好的财务状况报告，依缴纳税收和社会保障资金；</w:t>
      </w:r>
    </w:p>
    <w:p>
      <w:pPr>
        <w:spacing w:line="360" w:lineRule="auto"/>
        <w:ind w:firstLine="420" w:firstLineChars="150"/>
        <w:rPr>
          <w:rFonts w:hint="eastAsia"/>
          <w:sz w:val="28"/>
          <w:szCs w:val="28"/>
        </w:rPr>
      </w:pPr>
      <w:r>
        <w:rPr>
          <w:rFonts w:hint="eastAsia"/>
          <w:sz w:val="28"/>
          <w:szCs w:val="28"/>
          <w:lang w:val="en-US" w:eastAsia="zh-CN"/>
        </w:rPr>
        <w:t>4</w:t>
      </w:r>
      <w:r>
        <w:rPr>
          <w:rFonts w:hint="eastAsia"/>
          <w:sz w:val="28"/>
          <w:szCs w:val="28"/>
        </w:rPr>
        <w:t>、单位负责人为同一人或者存在直接控股、管理关系的不同供应商，不得参加同一合同项下的招标采购活动。</w:t>
      </w:r>
    </w:p>
    <w:p>
      <w:pPr>
        <w:spacing w:line="360" w:lineRule="auto"/>
        <w:ind w:firstLine="420" w:firstLineChars="150"/>
        <w:rPr>
          <w:rFonts w:hint="eastAsia"/>
          <w:sz w:val="28"/>
          <w:szCs w:val="28"/>
        </w:rPr>
      </w:pPr>
      <w:r>
        <w:rPr>
          <w:rFonts w:hint="eastAsia"/>
          <w:sz w:val="28"/>
          <w:szCs w:val="28"/>
          <w:lang w:val="en-US" w:eastAsia="zh-CN"/>
        </w:rPr>
        <w:t>5</w:t>
      </w:r>
      <w:r>
        <w:rPr>
          <w:rFonts w:hint="eastAsia"/>
          <w:sz w:val="28"/>
          <w:szCs w:val="28"/>
        </w:rPr>
        <w:t>、具有履行合同所必需的人员、设备和专业技术能力；</w:t>
      </w:r>
    </w:p>
    <w:p>
      <w:pPr>
        <w:spacing w:line="360" w:lineRule="auto"/>
        <w:ind w:firstLine="420" w:firstLineChars="150"/>
        <w:rPr>
          <w:rFonts w:hint="eastAsia"/>
          <w:sz w:val="28"/>
          <w:szCs w:val="28"/>
        </w:rPr>
      </w:pPr>
      <w:r>
        <w:rPr>
          <w:rFonts w:hint="eastAsia"/>
          <w:sz w:val="28"/>
          <w:szCs w:val="28"/>
          <w:lang w:val="en-US" w:eastAsia="zh-CN"/>
        </w:rPr>
        <w:t>6</w:t>
      </w:r>
      <w:r>
        <w:rPr>
          <w:rFonts w:hint="eastAsia"/>
          <w:sz w:val="28"/>
          <w:szCs w:val="28"/>
        </w:rPr>
        <w:t>、应符合《中华人民共和国政府采购法》第二十二条的规定；</w:t>
      </w:r>
    </w:p>
    <w:p>
      <w:pPr>
        <w:spacing w:line="360" w:lineRule="auto"/>
        <w:ind w:firstLine="420" w:firstLineChars="150"/>
        <w:rPr>
          <w:rFonts w:hint="eastAsia"/>
          <w:sz w:val="28"/>
          <w:szCs w:val="28"/>
        </w:rPr>
      </w:pPr>
      <w:r>
        <w:rPr>
          <w:rFonts w:hint="eastAsia"/>
          <w:sz w:val="28"/>
          <w:szCs w:val="28"/>
          <w:lang w:val="en-US" w:eastAsia="zh-CN"/>
        </w:rPr>
        <w:t>7</w:t>
      </w:r>
      <w:r>
        <w:rPr>
          <w:rFonts w:hint="eastAsia"/>
          <w:sz w:val="28"/>
          <w:szCs w:val="28"/>
        </w:rPr>
        <w:t>、在“信用中国”(www.creditchina.gov.cn)、“中国政府采购网”(www.ccgp.gov.cn)、“信用山东”（www.creditsd.gov.cn）、信用青岛（credit.qingdao.gov.cn）等网站中未被列入失信被执行人、重大税收违法案件当事人名单、政府采购严重违法失信行为记录名单的投标人；</w:t>
      </w:r>
    </w:p>
    <w:p>
      <w:pPr>
        <w:spacing w:line="360" w:lineRule="auto"/>
        <w:ind w:firstLine="420" w:firstLineChars="150"/>
        <w:rPr>
          <w:rFonts w:hint="eastAsia"/>
          <w:sz w:val="28"/>
          <w:szCs w:val="28"/>
        </w:rPr>
      </w:pPr>
      <w:r>
        <w:rPr>
          <w:rFonts w:hint="eastAsia"/>
          <w:sz w:val="28"/>
          <w:szCs w:val="28"/>
          <w:lang w:val="en-US" w:eastAsia="zh-CN"/>
        </w:rPr>
        <w:t>8、</w:t>
      </w:r>
      <w:r>
        <w:rPr>
          <w:rFonts w:hint="eastAsia"/>
          <w:sz w:val="28"/>
          <w:szCs w:val="28"/>
        </w:rPr>
        <w:t>符合磋商文件中规定的其他实质性要求；</w:t>
      </w:r>
    </w:p>
    <w:p>
      <w:pPr>
        <w:spacing w:line="360" w:lineRule="auto"/>
        <w:ind w:firstLine="420" w:firstLineChars="150"/>
        <w:rPr>
          <w:rFonts w:hint="eastAsia"/>
          <w:sz w:val="28"/>
          <w:szCs w:val="28"/>
        </w:rPr>
      </w:pPr>
      <w:r>
        <w:rPr>
          <w:rFonts w:hint="eastAsia"/>
          <w:sz w:val="28"/>
          <w:szCs w:val="28"/>
          <w:lang w:val="en-US" w:eastAsia="zh-CN"/>
        </w:rPr>
        <w:t>9</w:t>
      </w:r>
      <w:r>
        <w:rPr>
          <w:rFonts w:hint="eastAsia"/>
          <w:sz w:val="28"/>
          <w:szCs w:val="28"/>
        </w:rPr>
        <w:t>、本项目不接受联合体投标。</w:t>
      </w:r>
    </w:p>
    <w:p>
      <w:pPr>
        <w:spacing w:line="360" w:lineRule="auto"/>
        <w:rPr>
          <w:b/>
          <w:sz w:val="28"/>
          <w:szCs w:val="28"/>
        </w:rPr>
      </w:pPr>
      <w:r>
        <w:rPr>
          <w:rFonts w:hint="eastAsia"/>
          <w:b/>
          <w:sz w:val="28"/>
          <w:szCs w:val="28"/>
        </w:rPr>
        <w:t>二、响应文件的编写</w:t>
      </w:r>
    </w:p>
    <w:p>
      <w:pPr>
        <w:spacing w:line="360" w:lineRule="auto"/>
        <w:ind w:firstLine="560" w:firstLineChars="200"/>
        <w:rPr>
          <w:sz w:val="28"/>
          <w:szCs w:val="28"/>
        </w:rPr>
      </w:pPr>
      <w:r>
        <w:rPr>
          <w:rFonts w:hint="eastAsia"/>
          <w:sz w:val="28"/>
          <w:szCs w:val="28"/>
        </w:rPr>
        <w:t>供应商应仔细阅读竞争性磋商文件的所有内容，按竞争性磋商文件的要求提供响应文件，并保证所提供的全部资料的真实性、准确性及完整性，以使其报价对竞争性磋商文件做出实质性响应。否则，其报价有可能被拒绝或被视为无效。</w:t>
      </w:r>
    </w:p>
    <w:p>
      <w:pPr>
        <w:spacing w:line="360" w:lineRule="auto"/>
        <w:ind w:firstLine="560" w:firstLineChars="200"/>
        <w:rPr>
          <w:sz w:val="28"/>
          <w:szCs w:val="28"/>
        </w:rPr>
      </w:pPr>
      <w:r>
        <w:rPr>
          <w:rFonts w:hint="eastAsia"/>
          <w:sz w:val="28"/>
          <w:szCs w:val="28"/>
        </w:rPr>
        <w:t>1、响应文件的组成</w:t>
      </w:r>
    </w:p>
    <w:p>
      <w:pPr>
        <w:spacing w:line="360" w:lineRule="auto"/>
        <w:ind w:firstLine="560" w:firstLineChars="200"/>
        <w:rPr>
          <w:sz w:val="28"/>
          <w:szCs w:val="28"/>
        </w:rPr>
      </w:pPr>
      <w:r>
        <w:rPr>
          <w:rFonts w:hint="eastAsia"/>
          <w:sz w:val="28"/>
          <w:szCs w:val="28"/>
        </w:rPr>
        <w:t>供应商应按竞争性磋商文件的要求编写响应文件，提交证明其有资格进行报价和有能力履行合同的文件。</w:t>
      </w:r>
    </w:p>
    <w:p>
      <w:pPr>
        <w:spacing w:line="360" w:lineRule="auto"/>
        <w:ind w:firstLine="560" w:firstLineChars="200"/>
        <w:rPr>
          <w:sz w:val="28"/>
          <w:szCs w:val="28"/>
        </w:rPr>
      </w:pPr>
      <w:r>
        <w:rPr>
          <w:rFonts w:hint="eastAsia"/>
          <w:sz w:val="28"/>
          <w:szCs w:val="28"/>
        </w:rPr>
        <w:t>响应文件由投标函、报价一览表、资格证明文件、商务文件、技术文件五部分组成。</w:t>
      </w:r>
    </w:p>
    <w:p>
      <w:pPr>
        <w:spacing w:line="360" w:lineRule="auto"/>
        <w:ind w:firstLine="562" w:firstLineChars="200"/>
        <w:rPr>
          <w:b/>
          <w:sz w:val="28"/>
          <w:szCs w:val="28"/>
        </w:rPr>
      </w:pPr>
      <w:r>
        <w:rPr>
          <w:rFonts w:hint="eastAsia"/>
          <w:b/>
          <w:sz w:val="28"/>
          <w:szCs w:val="28"/>
        </w:rPr>
        <w:t>1.1 投标函部分</w:t>
      </w:r>
    </w:p>
    <w:p>
      <w:pPr>
        <w:spacing w:line="360" w:lineRule="auto"/>
        <w:ind w:firstLine="560" w:firstLineChars="200"/>
        <w:rPr>
          <w:sz w:val="28"/>
          <w:szCs w:val="28"/>
        </w:rPr>
      </w:pPr>
      <w:r>
        <w:rPr>
          <w:rFonts w:hint="eastAsia"/>
          <w:sz w:val="28"/>
          <w:szCs w:val="28"/>
        </w:rPr>
        <w:t>1.1.1 法定代表人签署的投标函（详见附件）</w:t>
      </w:r>
    </w:p>
    <w:p>
      <w:pPr>
        <w:spacing w:line="360" w:lineRule="auto"/>
        <w:ind w:firstLine="562" w:firstLineChars="200"/>
        <w:rPr>
          <w:b/>
          <w:sz w:val="28"/>
          <w:szCs w:val="28"/>
        </w:rPr>
      </w:pPr>
      <w:r>
        <w:rPr>
          <w:rFonts w:hint="eastAsia"/>
          <w:b/>
          <w:sz w:val="28"/>
          <w:szCs w:val="28"/>
        </w:rPr>
        <w:t>1.2 报价表</w:t>
      </w:r>
    </w:p>
    <w:p>
      <w:pPr>
        <w:spacing w:line="360" w:lineRule="auto"/>
        <w:ind w:firstLine="560" w:firstLineChars="200"/>
        <w:rPr>
          <w:sz w:val="28"/>
          <w:szCs w:val="28"/>
        </w:rPr>
      </w:pPr>
      <w:r>
        <w:rPr>
          <w:rFonts w:hint="eastAsia"/>
          <w:sz w:val="28"/>
          <w:szCs w:val="28"/>
        </w:rPr>
        <w:t>1.2.1 报价一览表（详见附件）</w:t>
      </w:r>
    </w:p>
    <w:p>
      <w:pPr>
        <w:spacing w:line="360" w:lineRule="auto"/>
        <w:ind w:firstLine="560" w:firstLineChars="200"/>
        <w:rPr>
          <w:sz w:val="28"/>
          <w:szCs w:val="28"/>
        </w:rPr>
      </w:pPr>
      <w:r>
        <w:rPr>
          <w:rFonts w:hint="eastAsia"/>
          <w:sz w:val="28"/>
          <w:szCs w:val="28"/>
        </w:rPr>
        <w:t>1.2.2 分项报价明细表（按功能模块报价，格式自拟）</w:t>
      </w:r>
    </w:p>
    <w:p>
      <w:pPr>
        <w:spacing w:line="360" w:lineRule="auto"/>
        <w:ind w:firstLine="562" w:firstLineChars="200"/>
        <w:rPr>
          <w:b/>
          <w:sz w:val="28"/>
          <w:szCs w:val="28"/>
        </w:rPr>
      </w:pPr>
      <w:r>
        <w:rPr>
          <w:rFonts w:hint="eastAsia"/>
          <w:b/>
          <w:sz w:val="28"/>
          <w:szCs w:val="28"/>
        </w:rPr>
        <w:t>1.3 资格证明文件</w:t>
      </w:r>
    </w:p>
    <w:p>
      <w:pPr>
        <w:spacing w:line="360" w:lineRule="auto"/>
        <w:ind w:firstLine="560" w:firstLineChars="200"/>
        <w:rPr>
          <w:sz w:val="28"/>
          <w:szCs w:val="28"/>
        </w:rPr>
      </w:pPr>
      <w:r>
        <w:rPr>
          <w:rFonts w:hint="eastAsia"/>
          <w:sz w:val="28"/>
          <w:szCs w:val="28"/>
        </w:rPr>
        <w:t>1.3.1 营业执照副本复印件（加盖公章）</w:t>
      </w:r>
      <w:r>
        <w:rPr>
          <w:rFonts w:hint="eastAsia"/>
          <w:b/>
          <w:sz w:val="28"/>
          <w:szCs w:val="28"/>
        </w:rPr>
        <w:t>（开标时提供原件备查）</w:t>
      </w:r>
      <w:r>
        <w:rPr>
          <w:rFonts w:hint="eastAsia"/>
          <w:sz w:val="28"/>
          <w:szCs w:val="28"/>
        </w:rPr>
        <w:t>；</w:t>
      </w:r>
    </w:p>
    <w:p>
      <w:pPr>
        <w:spacing w:line="360" w:lineRule="auto"/>
        <w:ind w:firstLine="560" w:firstLineChars="200"/>
        <w:rPr>
          <w:sz w:val="28"/>
          <w:szCs w:val="28"/>
        </w:rPr>
      </w:pPr>
      <w:r>
        <w:rPr>
          <w:rFonts w:hint="eastAsia"/>
          <w:sz w:val="28"/>
          <w:szCs w:val="28"/>
        </w:rPr>
        <w:t>1.3.2 法定代表人授权委托书（详见附件）；</w:t>
      </w:r>
    </w:p>
    <w:p>
      <w:pPr>
        <w:spacing w:line="360" w:lineRule="auto"/>
        <w:ind w:firstLine="560" w:firstLineChars="200"/>
        <w:rPr>
          <w:b/>
          <w:sz w:val="28"/>
          <w:szCs w:val="28"/>
        </w:rPr>
      </w:pPr>
      <w:r>
        <w:rPr>
          <w:rFonts w:hint="eastAsia"/>
          <w:sz w:val="28"/>
          <w:szCs w:val="28"/>
        </w:rPr>
        <w:t>1.3.4 财务状况报告的相关材料：</w:t>
      </w:r>
      <w:r>
        <w:rPr>
          <w:rFonts w:hint="eastAsia"/>
          <w:b/>
          <w:sz w:val="28"/>
          <w:szCs w:val="28"/>
        </w:rPr>
        <w:t>提供 201</w:t>
      </w:r>
      <w:r>
        <w:rPr>
          <w:rFonts w:hint="eastAsia"/>
          <w:b/>
          <w:sz w:val="28"/>
          <w:szCs w:val="28"/>
          <w:lang w:val="en-US" w:eastAsia="zh-CN"/>
        </w:rPr>
        <w:t>9</w:t>
      </w:r>
      <w:r>
        <w:rPr>
          <w:rFonts w:hint="eastAsia"/>
          <w:b/>
          <w:sz w:val="28"/>
          <w:szCs w:val="28"/>
        </w:rPr>
        <w:t>年度或20</w:t>
      </w:r>
      <w:r>
        <w:rPr>
          <w:rFonts w:hint="eastAsia"/>
          <w:b/>
          <w:sz w:val="28"/>
          <w:szCs w:val="28"/>
          <w:lang w:val="en-US" w:eastAsia="zh-CN"/>
        </w:rPr>
        <w:t>20</w:t>
      </w:r>
      <w:r>
        <w:rPr>
          <w:rFonts w:hint="eastAsia"/>
          <w:b/>
          <w:sz w:val="28"/>
          <w:szCs w:val="28"/>
        </w:rPr>
        <w:t>年度会计师事务所出具的年度财务报表或开户银行出具的资信证明复印件（加盖公章）；</w:t>
      </w:r>
    </w:p>
    <w:p>
      <w:pPr>
        <w:spacing w:line="360" w:lineRule="auto"/>
        <w:ind w:firstLine="560" w:firstLineChars="200"/>
        <w:rPr>
          <w:b/>
          <w:sz w:val="28"/>
          <w:szCs w:val="28"/>
        </w:rPr>
      </w:pPr>
      <w:r>
        <w:rPr>
          <w:rFonts w:hint="eastAsia"/>
          <w:sz w:val="28"/>
          <w:szCs w:val="28"/>
        </w:rPr>
        <w:t>1.3.5 依法缴纳税收和社会保障资金的相关材料：</w:t>
      </w:r>
      <w:r>
        <w:rPr>
          <w:rFonts w:hint="eastAsia"/>
          <w:b/>
          <w:sz w:val="28"/>
          <w:szCs w:val="28"/>
        </w:rPr>
        <w:t>投标人参加本次招标活动半年内任意一个月缴纳证明材料复印件（加盖公章）；</w:t>
      </w:r>
    </w:p>
    <w:p>
      <w:pPr>
        <w:spacing w:line="360" w:lineRule="auto"/>
        <w:ind w:firstLine="560" w:firstLineChars="200"/>
        <w:rPr>
          <w:b/>
          <w:sz w:val="28"/>
          <w:szCs w:val="28"/>
        </w:rPr>
      </w:pPr>
      <w:r>
        <w:rPr>
          <w:rFonts w:hint="eastAsia"/>
          <w:sz w:val="28"/>
          <w:szCs w:val="28"/>
        </w:rPr>
        <w:t>1.3.6在“信用中国”(www.creditchina.gov.cn)、中国政府采购网(www.ccgp.gov.cn)、“信用山东”（www. creditsd.gov.cn）、信用青岛（credit.qingdao.gov.cn）网站查询的本投标人未被列入“失信被执行人名单”、“重大税收违法案件当事人名单”、“政府采购严重违法失信行为记录名单”的</w:t>
      </w:r>
      <w:r>
        <w:rPr>
          <w:rFonts w:hint="eastAsia"/>
          <w:b/>
          <w:sz w:val="28"/>
          <w:szCs w:val="28"/>
        </w:rPr>
        <w:t>截图（体现查询时间）</w:t>
      </w:r>
      <w:r>
        <w:rPr>
          <w:rFonts w:hint="eastAsia"/>
          <w:sz w:val="28"/>
          <w:szCs w:val="28"/>
        </w:rPr>
        <w:t>，</w:t>
      </w:r>
      <w:r>
        <w:rPr>
          <w:rFonts w:hint="eastAsia"/>
          <w:b/>
          <w:sz w:val="28"/>
          <w:szCs w:val="28"/>
        </w:rPr>
        <w:t>加盖投标单位公章；</w:t>
      </w:r>
    </w:p>
    <w:p>
      <w:pPr>
        <w:spacing w:line="360" w:lineRule="auto"/>
        <w:ind w:firstLine="560" w:firstLineChars="200"/>
        <w:rPr>
          <w:sz w:val="28"/>
          <w:szCs w:val="28"/>
        </w:rPr>
      </w:pPr>
      <w:r>
        <w:rPr>
          <w:rFonts w:hint="eastAsia"/>
          <w:sz w:val="28"/>
          <w:szCs w:val="28"/>
        </w:rPr>
        <w:t>1.3.7 无违法违规声明（详见附件）；</w:t>
      </w:r>
    </w:p>
    <w:p>
      <w:pPr>
        <w:spacing w:line="360" w:lineRule="auto"/>
        <w:ind w:firstLine="560" w:firstLineChars="200"/>
        <w:rPr>
          <w:sz w:val="28"/>
          <w:szCs w:val="28"/>
        </w:rPr>
      </w:pPr>
      <w:r>
        <w:rPr>
          <w:rFonts w:hint="eastAsia"/>
          <w:sz w:val="28"/>
          <w:szCs w:val="28"/>
        </w:rPr>
        <w:t>1.3.8 无不良信用记录承诺函（详见附件）；</w:t>
      </w:r>
    </w:p>
    <w:p>
      <w:pPr>
        <w:spacing w:line="360" w:lineRule="auto"/>
        <w:ind w:firstLine="560" w:firstLineChars="200"/>
        <w:rPr>
          <w:sz w:val="28"/>
          <w:szCs w:val="28"/>
        </w:rPr>
      </w:pPr>
      <w:r>
        <w:rPr>
          <w:rFonts w:hint="eastAsia"/>
          <w:sz w:val="28"/>
          <w:szCs w:val="28"/>
        </w:rPr>
        <w:t>1.3.9投标人认为需要提交的其它文件。</w:t>
      </w:r>
    </w:p>
    <w:p>
      <w:pPr>
        <w:spacing w:line="360" w:lineRule="auto"/>
        <w:ind w:firstLine="560" w:firstLineChars="200"/>
        <w:rPr>
          <w:sz w:val="28"/>
          <w:szCs w:val="28"/>
        </w:rPr>
      </w:pPr>
      <w:r>
        <w:rPr>
          <w:rFonts w:hint="eastAsia"/>
          <w:sz w:val="28"/>
          <w:szCs w:val="28"/>
        </w:rPr>
        <w:t>1.4 商务文件</w:t>
      </w:r>
    </w:p>
    <w:p>
      <w:pPr>
        <w:spacing w:line="360" w:lineRule="auto"/>
        <w:ind w:firstLine="562" w:firstLineChars="200"/>
        <w:rPr>
          <w:b/>
          <w:sz w:val="28"/>
          <w:szCs w:val="28"/>
        </w:rPr>
      </w:pPr>
      <w:r>
        <w:rPr>
          <w:rFonts w:hint="eastAsia"/>
          <w:b/>
          <w:sz w:val="28"/>
          <w:szCs w:val="28"/>
        </w:rPr>
        <w:t>1.4.1企业资产状况、信誉、综合实力等综合情况说明；</w:t>
      </w:r>
    </w:p>
    <w:p>
      <w:pPr>
        <w:spacing w:line="360" w:lineRule="auto"/>
        <w:ind w:firstLine="562" w:firstLineChars="200"/>
        <w:rPr>
          <w:b/>
          <w:sz w:val="28"/>
          <w:szCs w:val="28"/>
        </w:rPr>
      </w:pPr>
      <w:bookmarkStart w:id="0" w:name="OLE_LINK8"/>
      <w:r>
        <w:rPr>
          <w:rFonts w:hint="eastAsia"/>
          <w:b/>
          <w:sz w:val="28"/>
          <w:szCs w:val="28"/>
        </w:rPr>
        <w:t>1.4.2近三年（201</w:t>
      </w:r>
      <w:r>
        <w:rPr>
          <w:rFonts w:hint="eastAsia"/>
          <w:b/>
          <w:sz w:val="28"/>
          <w:szCs w:val="28"/>
          <w:lang w:val="en-US" w:eastAsia="zh-CN"/>
        </w:rPr>
        <w:t>8</w:t>
      </w:r>
      <w:r>
        <w:rPr>
          <w:rFonts w:hint="eastAsia"/>
          <w:b/>
          <w:sz w:val="28"/>
          <w:szCs w:val="28"/>
        </w:rPr>
        <w:t>年</w:t>
      </w:r>
      <w:r>
        <w:rPr>
          <w:rFonts w:hint="eastAsia"/>
          <w:b/>
          <w:sz w:val="28"/>
          <w:szCs w:val="28"/>
          <w:lang w:val="en-US" w:eastAsia="zh-CN"/>
        </w:rPr>
        <w:t>9月1日</w:t>
      </w:r>
      <w:r>
        <w:rPr>
          <w:rFonts w:hint="eastAsia"/>
          <w:b/>
          <w:sz w:val="28"/>
          <w:szCs w:val="28"/>
        </w:rPr>
        <w:t>至今）同类项目业绩表，加盖公章（详见附件）；</w:t>
      </w:r>
    </w:p>
    <w:p>
      <w:pPr>
        <w:spacing w:line="360" w:lineRule="auto"/>
        <w:ind w:firstLine="560" w:firstLineChars="200"/>
        <w:rPr>
          <w:sz w:val="28"/>
          <w:szCs w:val="28"/>
        </w:rPr>
      </w:pPr>
      <w:r>
        <w:rPr>
          <w:rFonts w:hint="eastAsia"/>
          <w:sz w:val="28"/>
          <w:szCs w:val="28"/>
        </w:rPr>
        <w:t>1.4.3商务偏离表（详见附件）；</w:t>
      </w:r>
    </w:p>
    <w:p>
      <w:pPr>
        <w:spacing w:line="360" w:lineRule="auto"/>
        <w:ind w:firstLine="560" w:firstLineChars="200"/>
        <w:rPr>
          <w:sz w:val="28"/>
          <w:szCs w:val="28"/>
        </w:rPr>
      </w:pPr>
      <w:r>
        <w:rPr>
          <w:rFonts w:hint="eastAsia"/>
          <w:sz w:val="28"/>
          <w:szCs w:val="28"/>
        </w:rPr>
        <w:t>1.4.4供应商认为需要提交的其他资料。</w:t>
      </w:r>
    </w:p>
    <w:bookmarkEnd w:id="0"/>
    <w:p>
      <w:pPr>
        <w:spacing w:line="400" w:lineRule="exact"/>
        <w:ind w:firstLine="562" w:firstLineChars="200"/>
        <w:rPr>
          <w:b/>
          <w:sz w:val="28"/>
          <w:szCs w:val="28"/>
        </w:rPr>
      </w:pPr>
      <w:r>
        <w:rPr>
          <w:rFonts w:hint="eastAsia"/>
          <w:b/>
          <w:sz w:val="28"/>
          <w:szCs w:val="28"/>
        </w:rPr>
        <w:t>1.4 技术文件</w:t>
      </w:r>
    </w:p>
    <w:p>
      <w:pPr>
        <w:spacing w:line="360" w:lineRule="auto"/>
        <w:ind w:firstLine="560" w:firstLineChars="200"/>
        <w:rPr>
          <w:sz w:val="28"/>
          <w:szCs w:val="28"/>
        </w:rPr>
      </w:pPr>
      <w:r>
        <w:rPr>
          <w:rFonts w:hint="eastAsia"/>
          <w:sz w:val="28"/>
          <w:szCs w:val="28"/>
        </w:rPr>
        <w:t>1.4.1对本项目总体要求的理解；</w:t>
      </w:r>
    </w:p>
    <w:p>
      <w:pPr>
        <w:spacing w:line="360" w:lineRule="auto"/>
        <w:ind w:firstLine="560" w:firstLineChars="200"/>
        <w:rPr>
          <w:sz w:val="28"/>
          <w:szCs w:val="28"/>
        </w:rPr>
      </w:pPr>
      <w:r>
        <w:rPr>
          <w:rFonts w:hint="eastAsia"/>
          <w:sz w:val="28"/>
          <w:szCs w:val="28"/>
        </w:rPr>
        <w:t>1.4.2技术方案；</w:t>
      </w:r>
    </w:p>
    <w:p>
      <w:pPr>
        <w:spacing w:line="360" w:lineRule="auto"/>
        <w:ind w:firstLine="560" w:firstLineChars="200"/>
        <w:rPr>
          <w:sz w:val="28"/>
          <w:szCs w:val="28"/>
        </w:rPr>
      </w:pPr>
      <w:r>
        <w:rPr>
          <w:rFonts w:hint="eastAsia"/>
          <w:sz w:val="28"/>
          <w:szCs w:val="28"/>
        </w:rPr>
        <w:t>1.4.3</w:t>
      </w:r>
      <w:r>
        <w:rPr>
          <w:sz w:val="28"/>
          <w:szCs w:val="28"/>
        </w:rPr>
        <w:t>技术偏离表</w:t>
      </w:r>
      <w:r>
        <w:rPr>
          <w:rFonts w:hint="eastAsia"/>
          <w:sz w:val="28"/>
          <w:szCs w:val="28"/>
        </w:rPr>
        <w:t>（详见附件）</w:t>
      </w:r>
      <w:r>
        <w:rPr>
          <w:sz w:val="28"/>
          <w:szCs w:val="28"/>
        </w:rPr>
        <w:t>；</w:t>
      </w:r>
    </w:p>
    <w:p>
      <w:pPr>
        <w:spacing w:line="360" w:lineRule="auto"/>
        <w:ind w:firstLine="560" w:firstLineChars="200"/>
        <w:rPr>
          <w:sz w:val="28"/>
          <w:szCs w:val="28"/>
        </w:rPr>
      </w:pPr>
      <w:r>
        <w:rPr>
          <w:rFonts w:hint="eastAsia"/>
          <w:sz w:val="28"/>
          <w:szCs w:val="28"/>
        </w:rPr>
        <w:t>1.4.4项目实施人员（主要从业人员以及其技术资格）一览表；</w:t>
      </w:r>
    </w:p>
    <w:p>
      <w:pPr>
        <w:spacing w:line="360" w:lineRule="auto"/>
        <w:ind w:firstLine="560" w:firstLineChars="200"/>
        <w:rPr>
          <w:sz w:val="28"/>
          <w:szCs w:val="28"/>
        </w:rPr>
      </w:pPr>
      <w:r>
        <w:rPr>
          <w:rFonts w:hint="eastAsia"/>
          <w:sz w:val="28"/>
          <w:szCs w:val="28"/>
        </w:rPr>
        <w:t>1.4.5</w:t>
      </w:r>
      <w:r>
        <w:rPr>
          <w:sz w:val="28"/>
          <w:szCs w:val="28"/>
        </w:rPr>
        <w:t>售后服务内容</w:t>
      </w:r>
      <w:r>
        <w:rPr>
          <w:rFonts w:hint="eastAsia"/>
          <w:sz w:val="28"/>
          <w:szCs w:val="28"/>
        </w:rPr>
        <w:t>及</w:t>
      </w:r>
      <w:r>
        <w:rPr>
          <w:sz w:val="28"/>
          <w:szCs w:val="28"/>
        </w:rPr>
        <w:t>保证措施；</w:t>
      </w:r>
    </w:p>
    <w:p>
      <w:pPr>
        <w:spacing w:line="360" w:lineRule="auto"/>
        <w:ind w:firstLine="560" w:firstLineChars="200"/>
        <w:rPr>
          <w:sz w:val="28"/>
          <w:szCs w:val="28"/>
        </w:rPr>
      </w:pPr>
      <w:r>
        <w:rPr>
          <w:rFonts w:hint="eastAsia"/>
          <w:sz w:val="28"/>
          <w:szCs w:val="28"/>
        </w:rPr>
        <w:t>1.4.6培训方案；</w:t>
      </w:r>
    </w:p>
    <w:p>
      <w:pPr>
        <w:spacing w:line="360" w:lineRule="auto"/>
        <w:ind w:firstLine="560" w:firstLineChars="200"/>
        <w:rPr>
          <w:sz w:val="28"/>
          <w:szCs w:val="28"/>
        </w:rPr>
      </w:pPr>
      <w:r>
        <w:rPr>
          <w:rFonts w:hint="eastAsia"/>
          <w:sz w:val="28"/>
          <w:szCs w:val="28"/>
        </w:rPr>
        <w:t>1.4.7磋商文件要求或者供应商认为其它应介绍或者提交的资料和文件；</w:t>
      </w:r>
    </w:p>
    <w:p>
      <w:pPr>
        <w:spacing w:line="360" w:lineRule="auto"/>
        <w:ind w:firstLine="562" w:firstLineChars="200"/>
        <w:rPr>
          <w:b/>
          <w:sz w:val="28"/>
          <w:szCs w:val="28"/>
        </w:rPr>
      </w:pPr>
      <w:r>
        <w:rPr>
          <w:rFonts w:hint="eastAsia"/>
          <w:b/>
          <w:sz w:val="28"/>
          <w:szCs w:val="28"/>
        </w:rPr>
        <w:t>2、响应文件的编写方式</w:t>
      </w:r>
    </w:p>
    <w:p>
      <w:pPr>
        <w:spacing w:line="360" w:lineRule="auto"/>
        <w:ind w:firstLine="560" w:firstLineChars="200"/>
        <w:rPr>
          <w:sz w:val="28"/>
          <w:szCs w:val="28"/>
        </w:rPr>
      </w:pPr>
      <w:r>
        <w:rPr>
          <w:rFonts w:hint="eastAsia"/>
          <w:sz w:val="28"/>
          <w:szCs w:val="28"/>
        </w:rPr>
        <w:t>2.1 响应文件按以上顺序</w:t>
      </w:r>
      <w:r>
        <w:rPr>
          <w:rFonts w:hint="eastAsia"/>
          <w:b/>
          <w:bCs/>
          <w:sz w:val="28"/>
          <w:szCs w:val="28"/>
        </w:rPr>
        <w:t>胶装</w:t>
      </w:r>
      <w:r>
        <w:rPr>
          <w:rFonts w:hint="eastAsia"/>
          <w:sz w:val="28"/>
          <w:szCs w:val="28"/>
        </w:rPr>
        <w:t>成册，并在首页编制“响应文件目录”。</w:t>
      </w:r>
    </w:p>
    <w:p>
      <w:pPr>
        <w:spacing w:line="360" w:lineRule="auto"/>
        <w:ind w:firstLine="560" w:firstLineChars="200"/>
        <w:rPr>
          <w:sz w:val="28"/>
          <w:szCs w:val="28"/>
        </w:rPr>
      </w:pPr>
      <w:r>
        <w:rPr>
          <w:rFonts w:hint="eastAsia"/>
          <w:sz w:val="28"/>
          <w:szCs w:val="28"/>
        </w:rPr>
        <w:t>2.2 响应文件正本和副本用 A4 幅面的纸张打印复印。</w:t>
      </w:r>
    </w:p>
    <w:p>
      <w:pPr>
        <w:spacing w:line="360" w:lineRule="auto"/>
        <w:ind w:firstLine="560" w:firstLineChars="200"/>
        <w:rPr>
          <w:sz w:val="28"/>
          <w:szCs w:val="28"/>
        </w:rPr>
      </w:pPr>
      <w:r>
        <w:rPr>
          <w:rFonts w:hint="eastAsia"/>
          <w:sz w:val="28"/>
          <w:szCs w:val="28"/>
        </w:rPr>
        <w:t>2.3 “报价一览表”用 A4 幅面，竖版。</w:t>
      </w:r>
    </w:p>
    <w:p>
      <w:pPr>
        <w:spacing w:line="360" w:lineRule="auto"/>
        <w:ind w:firstLine="560" w:firstLineChars="200"/>
        <w:rPr>
          <w:sz w:val="28"/>
          <w:szCs w:val="28"/>
        </w:rPr>
      </w:pPr>
      <w:r>
        <w:rPr>
          <w:rFonts w:hint="eastAsia"/>
          <w:sz w:val="28"/>
          <w:szCs w:val="28"/>
        </w:rPr>
        <w:t>3、响应文件的密封及递交</w:t>
      </w:r>
    </w:p>
    <w:p>
      <w:pPr>
        <w:spacing w:line="360" w:lineRule="auto"/>
        <w:ind w:firstLine="560" w:firstLineChars="200"/>
        <w:rPr>
          <w:sz w:val="28"/>
          <w:szCs w:val="28"/>
        </w:rPr>
      </w:pPr>
      <w:r>
        <w:rPr>
          <w:rFonts w:hint="eastAsia"/>
          <w:sz w:val="28"/>
          <w:szCs w:val="28"/>
        </w:rPr>
        <w:t>3.1 响应文件的签署</w:t>
      </w:r>
    </w:p>
    <w:p>
      <w:pPr>
        <w:spacing w:line="360" w:lineRule="auto"/>
        <w:ind w:firstLine="560" w:firstLineChars="200"/>
        <w:rPr>
          <w:sz w:val="28"/>
          <w:szCs w:val="28"/>
        </w:rPr>
      </w:pPr>
      <w:r>
        <w:rPr>
          <w:rFonts w:hint="eastAsia"/>
          <w:sz w:val="28"/>
          <w:szCs w:val="28"/>
        </w:rPr>
        <w:t>供应商必须按竞争性磋商文件的规定签署响应文件（正本、副本）、并在响应文件封面上加盖供应商单位公章。</w:t>
      </w:r>
    </w:p>
    <w:p>
      <w:pPr>
        <w:spacing w:line="360" w:lineRule="auto"/>
        <w:ind w:firstLine="560" w:firstLineChars="200"/>
        <w:rPr>
          <w:sz w:val="28"/>
          <w:szCs w:val="28"/>
        </w:rPr>
      </w:pPr>
      <w:r>
        <w:rPr>
          <w:rFonts w:hint="eastAsia"/>
          <w:sz w:val="28"/>
          <w:szCs w:val="28"/>
        </w:rPr>
        <w:t>3.2 响应文件的密封和标记</w:t>
      </w:r>
    </w:p>
    <w:p>
      <w:pPr>
        <w:spacing w:line="360" w:lineRule="auto"/>
        <w:ind w:firstLine="560" w:firstLineChars="200"/>
        <w:rPr>
          <w:sz w:val="28"/>
          <w:szCs w:val="28"/>
        </w:rPr>
      </w:pPr>
      <w:r>
        <w:rPr>
          <w:rFonts w:hint="eastAsia"/>
          <w:sz w:val="28"/>
          <w:szCs w:val="28"/>
        </w:rPr>
        <w:t>3.2.1 供应商应准备</w:t>
      </w:r>
      <w:r>
        <w:rPr>
          <w:rFonts w:hint="eastAsia"/>
          <w:b/>
          <w:bCs/>
          <w:sz w:val="28"/>
          <w:szCs w:val="28"/>
          <w:lang w:val="en-US" w:eastAsia="zh-CN"/>
        </w:rPr>
        <w:t>八</w:t>
      </w:r>
      <w:r>
        <w:rPr>
          <w:rFonts w:hint="eastAsia"/>
          <w:b/>
          <w:bCs/>
          <w:sz w:val="28"/>
          <w:szCs w:val="28"/>
        </w:rPr>
        <w:t>份</w:t>
      </w:r>
      <w:r>
        <w:rPr>
          <w:rFonts w:hint="eastAsia"/>
          <w:sz w:val="28"/>
          <w:szCs w:val="28"/>
        </w:rPr>
        <w:t>纸质响应文件，</w:t>
      </w:r>
      <w:r>
        <w:rPr>
          <w:rFonts w:hint="eastAsia"/>
          <w:b/>
          <w:sz w:val="28"/>
          <w:szCs w:val="28"/>
        </w:rPr>
        <w:t>一份正本和</w:t>
      </w:r>
      <w:r>
        <w:rPr>
          <w:rFonts w:hint="eastAsia"/>
          <w:b/>
          <w:sz w:val="28"/>
          <w:szCs w:val="28"/>
          <w:lang w:val="en-US" w:eastAsia="zh-CN"/>
        </w:rPr>
        <w:t>七</w:t>
      </w:r>
      <w:r>
        <w:rPr>
          <w:rFonts w:hint="eastAsia"/>
          <w:b/>
          <w:sz w:val="28"/>
          <w:szCs w:val="28"/>
        </w:rPr>
        <w:t>份副本</w:t>
      </w:r>
      <w:r>
        <w:rPr>
          <w:rFonts w:hint="eastAsia"/>
          <w:sz w:val="28"/>
          <w:szCs w:val="28"/>
        </w:rPr>
        <w:t>。在每一份响应文件上要明确注明“正本”或“副本”字样，如正本和副本有差异，以正本为准。</w:t>
      </w:r>
    </w:p>
    <w:p>
      <w:pPr>
        <w:spacing w:line="360" w:lineRule="auto"/>
        <w:ind w:firstLine="560" w:firstLineChars="200"/>
        <w:rPr>
          <w:sz w:val="28"/>
          <w:szCs w:val="28"/>
        </w:rPr>
      </w:pPr>
      <w:r>
        <w:rPr>
          <w:rFonts w:hint="eastAsia"/>
          <w:sz w:val="28"/>
          <w:szCs w:val="28"/>
        </w:rPr>
        <w:t>3.2.2请供应商另外准备</w:t>
      </w:r>
      <w:r>
        <w:rPr>
          <w:rFonts w:hint="eastAsia"/>
          <w:b/>
          <w:sz w:val="28"/>
          <w:szCs w:val="28"/>
        </w:rPr>
        <w:t>壹份“报价一览表”单独密封</w:t>
      </w:r>
      <w:r>
        <w:rPr>
          <w:rFonts w:hint="eastAsia"/>
          <w:sz w:val="28"/>
          <w:szCs w:val="28"/>
        </w:rPr>
        <w:t>，与响应文件同时提交，在封面注明报价一览表、项目名称、项目编号、所投包号、供应商单位名称并加盖公章。</w:t>
      </w:r>
    </w:p>
    <w:p>
      <w:pPr>
        <w:spacing w:line="360" w:lineRule="auto"/>
        <w:ind w:firstLine="560" w:firstLineChars="200"/>
        <w:rPr>
          <w:sz w:val="28"/>
          <w:szCs w:val="28"/>
        </w:rPr>
      </w:pPr>
      <w:r>
        <w:rPr>
          <w:rFonts w:hint="eastAsia"/>
          <w:sz w:val="28"/>
          <w:szCs w:val="28"/>
        </w:rPr>
        <w:t>4、响应文件的递交</w:t>
      </w:r>
    </w:p>
    <w:p>
      <w:pPr>
        <w:spacing w:line="360" w:lineRule="auto"/>
        <w:ind w:firstLine="560" w:firstLineChars="200"/>
        <w:rPr>
          <w:sz w:val="28"/>
          <w:szCs w:val="28"/>
        </w:rPr>
      </w:pPr>
      <w:r>
        <w:rPr>
          <w:rFonts w:hint="eastAsia"/>
          <w:sz w:val="28"/>
          <w:szCs w:val="28"/>
        </w:rPr>
        <w:t>4.1 递交响应文件的地点和时间</w:t>
      </w:r>
    </w:p>
    <w:p>
      <w:pPr>
        <w:spacing w:line="360" w:lineRule="auto"/>
        <w:ind w:firstLine="560" w:firstLineChars="200"/>
        <w:rPr>
          <w:sz w:val="28"/>
          <w:szCs w:val="28"/>
        </w:rPr>
      </w:pPr>
      <w:r>
        <w:rPr>
          <w:rFonts w:hint="eastAsia"/>
          <w:sz w:val="28"/>
          <w:szCs w:val="28"/>
        </w:rPr>
        <w:t>按照磋商公告要求的时间和地点递交。</w:t>
      </w:r>
    </w:p>
    <w:p>
      <w:pPr>
        <w:spacing w:line="360" w:lineRule="auto"/>
        <w:ind w:firstLine="560" w:firstLineChars="200"/>
        <w:rPr>
          <w:sz w:val="28"/>
          <w:szCs w:val="28"/>
        </w:rPr>
      </w:pPr>
      <w:r>
        <w:rPr>
          <w:rFonts w:hint="eastAsia"/>
          <w:sz w:val="28"/>
          <w:szCs w:val="28"/>
        </w:rPr>
        <w:t>4.2 供应商代表必须在提交响应文件截止时间前将响应文件送达指定地点。采购人将拒绝接收在提交响应文件截止时间后送达的响应文件。如因竞争性磋商文件的修改推迟提交截止日期的，则按采购人通知规定的时间递交。</w:t>
      </w:r>
    </w:p>
    <w:p>
      <w:pPr>
        <w:spacing w:line="360" w:lineRule="auto"/>
        <w:ind w:firstLine="560" w:firstLineChars="200"/>
        <w:rPr>
          <w:sz w:val="28"/>
          <w:szCs w:val="28"/>
        </w:rPr>
      </w:pPr>
      <w:r>
        <w:rPr>
          <w:rFonts w:hint="eastAsia"/>
          <w:sz w:val="28"/>
          <w:szCs w:val="28"/>
        </w:rPr>
        <w:t>4.3 电报、电话、传真、电子邮件等形式的响应文件概不接受。</w:t>
      </w:r>
    </w:p>
    <w:p>
      <w:pPr>
        <w:spacing w:line="360" w:lineRule="auto"/>
        <w:ind w:firstLine="560" w:firstLineChars="200"/>
        <w:rPr>
          <w:sz w:val="28"/>
          <w:szCs w:val="28"/>
        </w:rPr>
      </w:pPr>
      <w:r>
        <w:rPr>
          <w:rFonts w:hint="eastAsia"/>
          <w:sz w:val="28"/>
          <w:szCs w:val="28"/>
        </w:rPr>
        <w:t>4.4 对供应商提交的响应文件不予退还。</w:t>
      </w:r>
    </w:p>
    <w:p>
      <w:pPr>
        <w:spacing w:line="360" w:lineRule="auto"/>
        <w:ind w:firstLine="560" w:firstLineChars="200"/>
        <w:rPr>
          <w:sz w:val="28"/>
          <w:szCs w:val="28"/>
        </w:rPr>
      </w:pPr>
      <w:r>
        <w:rPr>
          <w:rFonts w:hint="eastAsia"/>
          <w:sz w:val="28"/>
          <w:szCs w:val="28"/>
        </w:rPr>
        <w:t>5、报价要求</w:t>
      </w:r>
    </w:p>
    <w:p>
      <w:pPr>
        <w:spacing w:line="360" w:lineRule="auto"/>
        <w:ind w:firstLine="560" w:firstLineChars="200"/>
        <w:rPr>
          <w:sz w:val="28"/>
          <w:szCs w:val="28"/>
        </w:rPr>
      </w:pPr>
      <w:r>
        <w:rPr>
          <w:rFonts w:hint="eastAsia"/>
          <w:sz w:val="28"/>
          <w:szCs w:val="28"/>
        </w:rPr>
        <w:t>5.1本项目为交钥匙工程，供应商的报价应包含主件、标准附件、备品备件、专用工具、安装、调试、检验、培训、技术服务、运输、保险及因购买货物和服务所需缴纳的所有税费等全部费用。</w:t>
      </w:r>
    </w:p>
    <w:p>
      <w:pPr>
        <w:spacing w:line="360" w:lineRule="auto"/>
        <w:ind w:firstLine="560" w:firstLineChars="200"/>
        <w:rPr>
          <w:sz w:val="28"/>
          <w:szCs w:val="28"/>
        </w:rPr>
      </w:pPr>
      <w:r>
        <w:rPr>
          <w:rFonts w:hint="eastAsia"/>
          <w:sz w:val="28"/>
          <w:szCs w:val="28"/>
        </w:rPr>
        <w:t>5.2每一项目只允许有一个报价任何有选择的报价将不予接受。供应商未填单价或合价的项目，在实施后，采购人将不予以支付，并视作该项费用已包括在其他有价款的单价或合价内。</w:t>
      </w:r>
    </w:p>
    <w:p>
      <w:pPr>
        <w:spacing w:line="360" w:lineRule="auto"/>
        <w:ind w:firstLine="560" w:firstLineChars="200"/>
        <w:rPr>
          <w:rFonts w:hint="eastAsia" w:eastAsiaTheme="minorEastAsia"/>
          <w:sz w:val="28"/>
          <w:szCs w:val="28"/>
          <w:lang w:val="en-US" w:eastAsia="zh-CN"/>
        </w:rPr>
      </w:pPr>
      <w:r>
        <w:rPr>
          <w:rFonts w:hint="eastAsia"/>
          <w:sz w:val="28"/>
          <w:szCs w:val="28"/>
        </w:rPr>
        <w:t>5.3 响应文件的单价和金额应全部以人民币报出，报价中所有单价取小数点后两位，所有合价和总价精确到“元”。大写金额和小写金额不一致的，以大写金额为准</w:t>
      </w:r>
      <w:r>
        <w:rPr>
          <w:rFonts w:hint="eastAsia"/>
          <w:sz w:val="28"/>
          <w:szCs w:val="28"/>
          <w:lang w:eastAsia="zh-CN"/>
        </w:rPr>
        <w:t>。</w:t>
      </w:r>
    </w:p>
    <w:p>
      <w:pPr>
        <w:spacing w:line="360" w:lineRule="auto"/>
        <w:ind w:firstLine="560" w:firstLineChars="200"/>
        <w:rPr>
          <w:sz w:val="28"/>
          <w:szCs w:val="28"/>
        </w:rPr>
      </w:pPr>
      <w:r>
        <w:rPr>
          <w:rFonts w:hint="eastAsia"/>
          <w:sz w:val="28"/>
          <w:szCs w:val="28"/>
        </w:rPr>
        <w:t>5.4 供应商应充分熟悉本项目与履行合同有关的各种情况，本文件不再对上述情况进行描述。</w:t>
      </w:r>
    </w:p>
    <w:p>
      <w:pPr>
        <w:spacing w:line="360" w:lineRule="auto"/>
        <w:ind w:firstLine="560" w:firstLineChars="200"/>
        <w:rPr>
          <w:sz w:val="28"/>
          <w:szCs w:val="28"/>
        </w:rPr>
      </w:pPr>
      <w:r>
        <w:rPr>
          <w:rFonts w:hint="eastAsia"/>
          <w:sz w:val="28"/>
          <w:szCs w:val="28"/>
        </w:rPr>
        <w:t>5.5供应商必须对所提供货物和服务等知识产权方面的一切产权关系负全部责任，由此而引起的法律纠纷以及费用供应商须全部承担。</w:t>
      </w:r>
    </w:p>
    <w:p>
      <w:pPr>
        <w:spacing w:line="360" w:lineRule="auto"/>
        <w:ind w:firstLine="560" w:firstLineChars="200"/>
        <w:rPr>
          <w:sz w:val="28"/>
          <w:szCs w:val="28"/>
        </w:rPr>
      </w:pPr>
      <w:r>
        <w:rPr>
          <w:rFonts w:hint="eastAsia"/>
          <w:sz w:val="28"/>
          <w:szCs w:val="28"/>
        </w:rPr>
        <w:t>6、无效报价</w:t>
      </w:r>
    </w:p>
    <w:p>
      <w:pPr>
        <w:spacing w:line="360" w:lineRule="auto"/>
        <w:ind w:firstLine="560" w:firstLineChars="200"/>
        <w:rPr>
          <w:sz w:val="28"/>
          <w:szCs w:val="28"/>
        </w:rPr>
      </w:pPr>
      <w:r>
        <w:rPr>
          <w:rFonts w:hint="eastAsia"/>
          <w:sz w:val="28"/>
          <w:szCs w:val="28"/>
        </w:rPr>
        <w:t>6.1 供应商有下列情况之一，其报价将被视为无效：</w:t>
      </w:r>
    </w:p>
    <w:p>
      <w:pPr>
        <w:spacing w:line="360" w:lineRule="auto"/>
        <w:ind w:firstLine="560" w:firstLineChars="200"/>
        <w:rPr>
          <w:sz w:val="28"/>
          <w:szCs w:val="28"/>
        </w:rPr>
      </w:pPr>
      <w:r>
        <w:rPr>
          <w:rFonts w:hint="eastAsia"/>
          <w:sz w:val="28"/>
          <w:szCs w:val="28"/>
        </w:rPr>
        <w:t>6.1.1 未按规定报价；</w:t>
      </w:r>
    </w:p>
    <w:p>
      <w:pPr>
        <w:spacing w:line="360" w:lineRule="auto"/>
        <w:ind w:firstLine="560" w:firstLineChars="200"/>
        <w:rPr>
          <w:sz w:val="28"/>
          <w:szCs w:val="28"/>
        </w:rPr>
      </w:pPr>
      <w:r>
        <w:rPr>
          <w:rFonts w:hint="eastAsia"/>
          <w:sz w:val="28"/>
          <w:szCs w:val="28"/>
        </w:rPr>
        <w:t>6.1.2 报价超过采购控制价；</w:t>
      </w:r>
    </w:p>
    <w:p>
      <w:pPr>
        <w:spacing w:line="360" w:lineRule="auto"/>
        <w:ind w:firstLine="560" w:firstLineChars="200"/>
        <w:rPr>
          <w:sz w:val="28"/>
          <w:szCs w:val="28"/>
        </w:rPr>
      </w:pPr>
      <w:r>
        <w:rPr>
          <w:rFonts w:hint="eastAsia"/>
          <w:sz w:val="28"/>
          <w:szCs w:val="28"/>
        </w:rPr>
        <w:t>6.1.3响应文件未按竞争性磋商文件的规定签署或密封、盖章的；</w:t>
      </w:r>
    </w:p>
    <w:p>
      <w:pPr>
        <w:spacing w:line="360" w:lineRule="auto"/>
        <w:ind w:firstLine="560" w:firstLineChars="200"/>
        <w:rPr>
          <w:sz w:val="28"/>
          <w:szCs w:val="28"/>
        </w:rPr>
      </w:pPr>
      <w:r>
        <w:rPr>
          <w:rFonts w:hint="eastAsia"/>
          <w:sz w:val="28"/>
          <w:szCs w:val="28"/>
        </w:rPr>
        <w:t>6.1.4报价一览表未加盖本单位公章、法定代表人或授权代表未签字的；</w:t>
      </w:r>
    </w:p>
    <w:p>
      <w:pPr>
        <w:spacing w:line="360" w:lineRule="auto"/>
        <w:ind w:firstLine="560" w:firstLineChars="200"/>
        <w:rPr>
          <w:sz w:val="28"/>
          <w:szCs w:val="28"/>
        </w:rPr>
      </w:pPr>
      <w:r>
        <w:rPr>
          <w:rFonts w:hint="eastAsia"/>
          <w:sz w:val="28"/>
          <w:szCs w:val="28"/>
        </w:rPr>
        <w:t>6.1.5供应商资格不符合竞争性磋商文件要求，未按竞争性磋商文件要求提供资格、资质证明文件的；</w:t>
      </w:r>
    </w:p>
    <w:p>
      <w:pPr>
        <w:spacing w:line="360" w:lineRule="auto"/>
        <w:ind w:firstLine="560" w:firstLineChars="200"/>
        <w:rPr>
          <w:sz w:val="28"/>
          <w:szCs w:val="28"/>
        </w:rPr>
      </w:pPr>
      <w:r>
        <w:rPr>
          <w:rFonts w:hint="eastAsia"/>
          <w:sz w:val="28"/>
          <w:szCs w:val="28"/>
        </w:rPr>
        <w:t>6.1.6响应文件载明的付款方式不满足竞争性磋商文件规定且不能被采购人接受；</w:t>
      </w:r>
    </w:p>
    <w:p>
      <w:pPr>
        <w:spacing w:line="360" w:lineRule="auto"/>
        <w:ind w:firstLine="560" w:firstLineChars="200"/>
        <w:rPr>
          <w:sz w:val="28"/>
          <w:szCs w:val="28"/>
        </w:rPr>
      </w:pPr>
      <w:r>
        <w:rPr>
          <w:rFonts w:hint="eastAsia"/>
          <w:sz w:val="28"/>
          <w:szCs w:val="28"/>
        </w:rPr>
        <w:t>6.1.7不符合竞争性磋商文件中规定的其他实质性要求；</w:t>
      </w:r>
    </w:p>
    <w:p>
      <w:pPr>
        <w:spacing w:line="360" w:lineRule="auto"/>
        <w:ind w:firstLine="560" w:firstLineChars="200"/>
        <w:rPr>
          <w:sz w:val="28"/>
          <w:szCs w:val="28"/>
        </w:rPr>
      </w:pPr>
      <w:r>
        <w:rPr>
          <w:rFonts w:hint="eastAsia"/>
          <w:sz w:val="28"/>
          <w:szCs w:val="28"/>
        </w:rPr>
        <w:t>6.1.8法律、法规规定的其他情况。</w:t>
      </w:r>
    </w:p>
    <w:p>
      <w:pPr>
        <w:spacing w:line="360" w:lineRule="auto"/>
        <w:ind w:firstLine="560" w:firstLineChars="200"/>
        <w:rPr>
          <w:sz w:val="28"/>
          <w:szCs w:val="28"/>
        </w:rPr>
      </w:pPr>
      <w:r>
        <w:rPr>
          <w:rFonts w:hint="eastAsia"/>
          <w:sz w:val="28"/>
          <w:szCs w:val="28"/>
        </w:rPr>
        <w:t>6.2 供应商有下列情况之一，其投标不仅被视为无效，而且采购人将严格按照相关法律、法规及规章制度的规定行使权利并没收其磋商保证金。供应商给采购人造成损失的，应予以赔偿。</w:t>
      </w:r>
    </w:p>
    <w:p>
      <w:pPr>
        <w:spacing w:line="360" w:lineRule="auto"/>
        <w:ind w:firstLine="560" w:firstLineChars="200"/>
        <w:rPr>
          <w:sz w:val="28"/>
          <w:szCs w:val="28"/>
        </w:rPr>
      </w:pPr>
      <w:r>
        <w:rPr>
          <w:rFonts w:hint="eastAsia"/>
          <w:sz w:val="28"/>
          <w:szCs w:val="28"/>
        </w:rPr>
        <w:t>6.2.1 供应商在提交响应文件截止时间后撤回响应文件的；</w:t>
      </w:r>
    </w:p>
    <w:p>
      <w:pPr>
        <w:spacing w:line="360" w:lineRule="auto"/>
        <w:ind w:firstLine="560" w:firstLineChars="200"/>
        <w:rPr>
          <w:sz w:val="28"/>
          <w:szCs w:val="28"/>
        </w:rPr>
      </w:pPr>
      <w:r>
        <w:rPr>
          <w:rFonts w:hint="eastAsia"/>
          <w:sz w:val="28"/>
          <w:szCs w:val="28"/>
        </w:rPr>
        <w:t>6.2.2 供应商提供的有关资格、资质证明文件不真实或提供虚假材料的；</w:t>
      </w:r>
    </w:p>
    <w:p>
      <w:pPr>
        <w:spacing w:line="360" w:lineRule="auto"/>
        <w:ind w:firstLine="560" w:firstLineChars="200"/>
        <w:rPr>
          <w:sz w:val="28"/>
          <w:szCs w:val="28"/>
        </w:rPr>
      </w:pPr>
      <w:r>
        <w:rPr>
          <w:rFonts w:hint="eastAsia"/>
          <w:sz w:val="28"/>
          <w:szCs w:val="28"/>
        </w:rPr>
        <w:t>6.2.3 以他人名义投标或者以其他方式弄虚作假，骗取中标的；</w:t>
      </w:r>
    </w:p>
    <w:p>
      <w:pPr>
        <w:spacing w:line="360" w:lineRule="auto"/>
        <w:ind w:firstLine="560" w:firstLineChars="200"/>
        <w:rPr>
          <w:sz w:val="28"/>
          <w:szCs w:val="28"/>
        </w:rPr>
      </w:pPr>
      <w:r>
        <w:rPr>
          <w:rFonts w:hint="eastAsia"/>
          <w:sz w:val="28"/>
          <w:szCs w:val="28"/>
        </w:rPr>
        <w:t>6.2.4 供应商向采购人、磋商小组成员提供不正当利益；</w:t>
      </w:r>
    </w:p>
    <w:p>
      <w:pPr>
        <w:spacing w:line="360" w:lineRule="auto"/>
        <w:ind w:firstLine="560" w:firstLineChars="200"/>
        <w:rPr>
          <w:sz w:val="28"/>
          <w:szCs w:val="28"/>
        </w:rPr>
      </w:pPr>
      <w:r>
        <w:rPr>
          <w:rFonts w:hint="eastAsia"/>
          <w:sz w:val="28"/>
          <w:szCs w:val="28"/>
        </w:rPr>
        <w:t>6.2.5 在整个开标、评标过程中，供应商有企图影响评标结果公正性的任何活动或以任何方式诋毁其他供应商或恶意串通的；</w:t>
      </w:r>
    </w:p>
    <w:p>
      <w:pPr>
        <w:spacing w:line="360" w:lineRule="auto"/>
        <w:ind w:firstLine="560" w:firstLineChars="200"/>
        <w:rPr>
          <w:sz w:val="28"/>
          <w:szCs w:val="28"/>
        </w:rPr>
      </w:pPr>
      <w:r>
        <w:rPr>
          <w:rFonts w:hint="eastAsia"/>
          <w:sz w:val="28"/>
          <w:szCs w:val="28"/>
        </w:rPr>
        <w:t>6.2.6 除因不可抗力或磋商文件认可的情形以外，成交供应商不与采购人签订合同的；</w:t>
      </w:r>
    </w:p>
    <w:p>
      <w:pPr>
        <w:spacing w:line="360" w:lineRule="auto"/>
        <w:ind w:firstLine="560" w:firstLineChars="200"/>
        <w:rPr>
          <w:sz w:val="28"/>
          <w:szCs w:val="28"/>
        </w:rPr>
      </w:pPr>
      <w:r>
        <w:rPr>
          <w:rFonts w:hint="eastAsia"/>
          <w:sz w:val="28"/>
          <w:szCs w:val="28"/>
        </w:rPr>
        <w:t>6.2.7 法律、法规规定的其他情况。</w:t>
      </w:r>
    </w:p>
    <w:p>
      <w:pPr>
        <w:jc w:val="both"/>
        <w:rPr>
          <w:b/>
          <w:sz w:val="28"/>
          <w:szCs w:val="28"/>
        </w:rPr>
      </w:pPr>
    </w:p>
    <w:p>
      <w:pPr>
        <w:pStyle w:val="10"/>
        <w:numPr>
          <w:ilvl w:val="0"/>
          <w:numId w:val="1"/>
        </w:numPr>
        <w:ind w:firstLineChars="0"/>
        <w:jc w:val="center"/>
        <w:rPr>
          <w:b/>
          <w:sz w:val="28"/>
          <w:szCs w:val="28"/>
          <w:highlight w:val="none"/>
        </w:rPr>
      </w:pPr>
      <w:r>
        <w:rPr>
          <w:rFonts w:hint="eastAsia"/>
          <w:b/>
          <w:sz w:val="28"/>
          <w:szCs w:val="28"/>
          <w:highlight w:val="none"/>
        </w:rPr>
        <w:t>项目说明</w:t>
      </w:r>
      <w:bookmarkStart w:id="24" w:name="_GoBack"/>
      <w:bookmarkEnd w:id="24"/>
    </w:p>
    <w:p>
      <w:pPr>
        <w:pStyle w:val="10"/>
        <w:numPr>
          <w:ilvl w:val="0"/>
          <w:numId w:val="2"/>
        </w:numPr>
        <w:ind w:firstLineChars="0"/>
        <w:rPr>
          <w:rFonts w:asciiTheme="minorEastAsia" w:hAnsiTheme="minorEastAsia"/>
          <w:b/>
          <w:sz w:val="28"/>
          <w:szCs w:val="28"/>
        </w:rPr>
      </w:pPr>
      <w:r>
        <w:rPr>
          <w:rFonts w:hint="eastAsia" w:asciiTheme="minorEastAsia" w:hAnsiTheme="minorEastAsia"/>
          <w:b/>
          <w:sz w:val="28"/>
          <w:szCs w:val="28"/>
        </w:rPr>
        <w:t>项目概况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35" w:afterAutospacing="0" w:line="240" w:lineRule="auto"/>
        <w:ind w:left="0" w:right="0" w:firstLine="640" w:firstLineChars="200"/>
        <w:jc w:val="both"/>
        <w:textAlignment w:val="auto"/>
        <w:rPr>
          <w:rStyle w:val="9"/>
          <w:rFonts w:hint="eastAsia" w:ascii="宋体" w:hAnsi="宋体" w:eastAsia="宋体" w:cs="宋体"/>
          <w:b w:val="0"/>
          <w:bCs/>
          <w:i w:val="0"/>
          <w:caps w:val="0"/>
          <w:color w:val="000000" w:themeColor="text1"/>
          <w:spacing w:val="0"/>
          <w:sz w:val="32"/>
          <w:szCs w:val="32"/>
          <w:shd w:val="clear" w:fill="FFFFFF"/>
          <w14:textFill>
            <w14:solidFill>
              <w14:schemeClr w14:val="tx1"/>
            </w14:solidFill>
          </w14:textFill>
        </w:rPr>
      </w:pPr>
      <w:r>
        <w:rPr>
          <w:rStyle w:val="9"/>
          <w:rFonts w:hint="eastAsia" w:ascii="宋体" w:hAnsi="宋体" w:eastAsia="宋体" w:cs="宋体"/>
          <w:b w:val="0"/>
          <w:bCs/>
          <w:i w:val="0"/>
          <w:caps w:val="0"/>
          <w:color w:val="000000" w:themeColor="text1"/>
          <w:spacing w:val="0"/>
          <w:sz w:val="32"/>
          <w:szCs w:val="32"/>
          <w:shd w:val="clear" w:fill="FFFFFF"/>
          <w14:textFill>
            <w14:solidFill>
              <w14:schemeClr w14:val="tx1"/>
            </w14:solidFill>
          </w14:textFill>
        </w:rPr>
        <w:t>本项目是依据我院实际业务情况，将连接互联网的服务器单独建立外联区域虚拟化平台进行管理，提高内网服务器安全性。</w:t>
      </w:r>
    </w:p>
    <w:p>
      <w:pPr>
        <w:rPr>
          <w:b/>
          <w:sz w:val="28"/>
          <w:szCs w:val="28"/>
        </w:rPr>
      </w:pPr>
      <w:r>
        <w:rPr>
          <w:rFonts w:hint="eastAsia"/>
          <w:b/>
          <w:sz w:val="28"/>
          <w:szCs w:val="28"/>
        </w:rPr>
        <w:t>二、采购控制价：</w:t>
      </w:r>
      <w:r>
        <w:rPr>
          <w:b/>
          <w:sz w:val="28"/>
          <w:szCs w:val="28"/>
        </w:rPr>
        <w:t xml:space="preserve">49万 </w:t>
      </w:r>
    </w:p>
    <w:p>
      <w:pPr>
        <w:rPr>
          <w:b/>
          <w:sz w:val="28"/>
          <w:szCs w:val="28"/>
        </w:rPr>
      </w:pPr>
      <w:r>
        <w:rPr>
          <w:rFonts w:hint="eastAsia"/>
          <w:b/>
          <w:sz w:val="28"/>
          <w:szCs w:val="28"/>
        </w:rPr>
        <w:t>三、实施周期：</w:t>
      </w:r>
      <w:r>
        <w:rPr>
          <w:b/>
          <w:sz w:val="28"/>
          <w:szCs w:val="28"/>
        </w:rPr>
        <w:t xml:space="preserve">90天 </w:t>
      </w:r>
    </w:p>
    <w:p>
      <w:pPr>
        <w:rPr>
          <w:rFonts w:asciiTheme="minorEastAsia" w:hAnsiTheme="minorEastAsia"/>
          <w:b/>
          <w:sz w:val="28"/>
          <w:szCs w:val="28"/>
        </w:rPr>
      </w:pPr>
      <w:r>
        <w:rPr>
          <w:rFonts w:hint="eastAsia" w:asciiTheme="minorEastAsia" w:hAnsiTheme="minorEastAsia"/>
          <w:b/>
          <w:sz w:val="28"/>
          <w:szCs w:val="28"/>
          <w:lang w:val="en-US" w:eastAsia="zh-CN"/>
        </w:rPr>
        <w:t>四</w:t>
      </w:r>
      <w:r>
        <w:rPr>
          <w:rFonts w:hint="eastAsia" w:asciiTheme="minorEastAsia" w:hAnsiTheme="minorEastAsia"/>
          <w:b/>
          <w:sz w:val="28"/>
          <w:szCs w:val="28"/>
        </w:rPr>
        <w:t>、技术要求</w:t>
      </w:r>
    </w:p>
    <w:p>
      <w:pPr>
        <w:spacing w:after="160" w:line="360" w:lineRule="auto"/>
        <w:rPr>
          <w:rFonts w:ascii="宋体" w:hAnsi="宋体"/>
          <w:color w:val="000000" w:themeColor="text1"/>
          <w:sz w:val="24"/>
          <w:szCs w:val="24"/>
          <w14:textFill>
            <w14:solidFill>
              <w14:schemeClr w14:val="tx1"/>
            </w14:solidFill>
          </w14:textFill>
        </w:rPr>
      </w:pPr>
      <w:r>
        <w:rPr>
          <w:rFonts w:hint="eastAsia" w:ascii="宋体" w:hAnsi="宋体" w:cs="仿宋_GB2312"/>
          <w:b/>
          <w:color w:val="000000" w:themeColor="text1"/>
          <w:sz w:val="24"/>
          <w:szCs w:val="24"/>
          <w14:textFill>
            <w14:solidFill>
              <w14:schemeClr w14:val="tx1"/>
            </w14:solidFill>
          </w14:textFill>
        </w:rPr>
        <w:t>1、总体要求</w:t>
      </w:r>
    </w:p>
    <w:p>
      <w:pPr>
        <w:spacing w:line="360" w:lineRule="auto"/>
        <w:ind w:firstLine="480" w:firstLineChars="200"/>
        <w:rPr>
          <w:rFonts w:ascii="宋体" w:hAnsi="宋体" w:cs="Segoe UI"/>
          <w:color w:val="000000" w:themeColor="text1"/>
          <w:sz w:val="24"/>
          <w:szCs w:val="24"/>
          <w:shd w:val="clear" w:color="auto" w:fill="FFFFFF"/>
          <w14:textFill>
            <w14:solidFill>
              <w14:schemeClr w14:val="tx1"/>
            </w14:solidFill>
          </w14:textFill>
        </w:rPr>
      </w:pPr>
      <w:r>
        <w:rPr>
          <w:rFonts w:hint="eastAsia" w:ascii="宋体" w:hAnsi="宋体" w:cs="Segoe UI"/>
          <w:color w:val="000000" w:themeColor="text1"/>
          <w:sz w:val="24"/>
          <w:szCs w:val="24"/>
          <w:shd w:val="clear" w:color="auto" w:fill="FFFFFF"/>
          <w14:textFill>
            <w14:solidFill>
              <w14:schemeClr w14:val="tx1"/>
            </w14:solidFill>
          </w14:textFill>
        </w:rPr>
        <w:t>根据我院网络情况结合实际业务需求情况，搭建外联区域虚拟化平台提供互联网业务的服务器集中管理，与内网关键业务服务器隔离开，降低因互联网服务器被攻陷操控，导致其他服务器被攻击的安全风险。</w:t>
      </w:r>
    </w:p>
    <w:p>
      <w:pPr>
        <w:spacing w:line="360" w:lineRule="auto"/>
        <w:ind w:firstLine="480" w:firstLineChars="200"/>
        <w:rPr>
          <w:rFonts w:ascii="宋体" w:hAnsi="宋体" w:cs="Segoe UI"/>
          <w:color w:val="000000" w:themeColor="text1"/>
          <w:sz w:val="24"/>
          <w:szCs w:val="24"/>
          <w:shd w:val="clear" w:color="auto" w:fill="FFFFFF"/>
          <w14:textFill>
            <w14:solidFill>
              <w14:schemeClr w14:val="tx1"/>
            </w14:solidFill>
          </w14:textFill>
        </w:rPr>
      </w:pPr>
      <w:r>
        <w:rPr>
          <w:rFonts w:hint="eastAsia" w:ascii="宋体" w:hAnsi="宋体" w:cs="Segoe UI"/>
          <w:color w:val="000000" w:themeColor="text1"/>
          <w:sz w:val="24"/>
          <w:szCs w:val="24"/>
          <w:shd w:val="clear" w:color="auto" w:fill="FFFFFF"/>
          <w14:textFill>
            <w14:solidFill>
              <w14:schemeClr w14:val="tx1"/>
            </w14:solidFill>
          </w14:textFill>
        </w:rPr>
        <w:t>按照业务系统所需要的硬件配置采购虚拟化服务器资源，配置3台服务器节点，每台C</w:t>
      </w:r>
      <w:r>
        <w:rPr>
          <w:rFonts w:ascii="宋体" w:hAnsi="宋体" w:cs="Segoe UI"/>
          <w:color w:val="000000" w:themeColor="text1"/>
          <w:sz w:val="24"/>
          <w:szCs w:val="24"/>
          <w:shd w:val="clear" w:color="auto" w:fill="FFFFFF"/>
          <w14:textFill>
            <w14:solidFill>
              <w14:schemeClr w14:val="tx1"/>
            </w14:solidFill>
          </w14:textFill>
        </w:rPr>
        <w:t>PU不低于</w:t>
      </w:r>
      <w:r>
        <w:rPr>
          <w:rFonts w:hint="eastAsia" w:ascii="宋体" w:hAnsi="宋体" w:cs="Segoe UI"/>
          <w:color w:val="000000" w:themeColor="text1"/>
          <w:sz w:val="24"/>
          <w:szCs w:val="24"/>
          <w:shd w:val="clear" w:color="auto" w:fill="FFFFFF"/>
          <w14:textFill>
            <w14:solidFill>
              <w14:schemeClr w14:val="tx1"/>
            </w14:solidFill>
          </w14:textFill>
        </w:rPr>
        <w:t>4</w:t>
      </w:r>
      <w:r>
        <w:rPr>
          <w:rFonts w:ascii="宋体" w:hAnsi="宋体" w:cs="Segoe UI"/>
          <w:color w:val="000000" w:themeColor="text1"/>
          <w:sz w:val="24"/>
          <w:szCs w:val="24"/>
          <w:shd w:val="clear" w:color="auto" w:fill="FFFFFF"/>
          <w14:textFill>
            <w14:solidFill>
              <w14:schemeClr w14:val="tx1"/>
            </w14:solidFill>
          </w14:textFill>
        </w:rPr>
        <w:t>8个物理内核</w:t>
      </w:r>
      <w:r>
        <w:rPr>
          <w:rFonts w:hint="eastAsia" w:ascii="宋体" w:hAnsi="宋体" w:cs="Segoe UI"/>
          <w:color w:val="000000" w:themeColor="text1"/>
          <w:sz w:val="24"/>
          <w:szCs w:val="24"/>
          <w:shd w:val="clear" w:color="auto" w:fill="FFFFFF"/>
          <w14:textFill>
            <w14:solidFill>
              <w14:schemeClr w14:val="tx1"/>
            </w14:solidFill>
          </w14:textFill>
        </w:rPr>
        <w:t>/</w:t>
      </w:r>
      <w:r>
        <w:rPr>
          <w:rFonts w:ascii="宋体" w:hAnsi="宋体" w:cs="Segoe UI"/>
          <w:color w:val="000000" w:themeColor="text1"/>
          <w:sz w:val="24"/>
          <w:szCs w:val="24"/>
          <w:shd w:val="clear" w:color="auto" w:fill="FFFFFF"/>
          <w14:textFill>
            <w14:solidFill>
              <w14:schemeClr w14:val="tx1"/>
            </w14:solidFill>
          </w14:textFill>
        </w:rPr>
        <w:t>96个线程</w:t>
      </w:r>
      <w:r>
        <w:rPr>
          <w:rFonts w:hint="eastAsia" w:ascii="宋体" w:hAnsi="宋体" w:cs="Segoe UI"/>
          <w:color w:val="000000" w:themeColor="text1"/>
          <w:sz w:val="24"/>
          <w:szCs w:val="24"/>
          <w:shd w:val="clear" w:color="auto" w:fill="FFFFFF"/>
          <w14:textFill>
            <w14:solidFill>
              <w14:schemeClr w14:val="tx1"/>
            </w14:solidFill>
          </w14:textFill>
        </w:rPr>
        <w:t>，内存不低于3</w:t>
      </w:r>
      <w:r>
        <w:rPr>
          <w:rFonts w:ascii="宋体" w:hAnsi="宋体" w:cs="Segoe UI"/>
          <w:color w:val="000000" w:themeColor="text1"/>
          <w:sz w:val="24"/>
          <w:szCs w:val="24"/>
          <w:shd w:val="clear" w:color="auto" w:fill="FFFFFF"/>
          <w14:textFill>
            <w14:solidFill>
              <w14:schemeClr w14:val="tx1"/>
            </w14:solidFill>
          </w14:textFill>
        </w:rPr>
        <w:t>20G,存储不低于</w:t>
      </w:r>
      <w:r>
        <w:rPr>
          <w:rFonts w:hint="eastAsia" w:ascii="宋体" w:hAnsi="宋体" w:cs="Segoe UI"/>
          <w:color w:val="000000" w:themeColor="text1"/>
          <w:sz w:val="24"/>
          <w:szCs w:val="24"/>
          <w:shd w:val="clear" w:color="auto" w:fill="FFFFFF"/>
          <w14:textFill>
            <w14:solidFill>
              <w14:schemeClr w14:val="tx1"/>
            </w14:solidFill>
          </w14:textFill>
        </w:rPr>
        <w:t>2块2</w:t>
      </w:r>
      <w:r>
        <w:rPr>
          <w:rFonts w:ascii="宋体" w:hAnsi="宋体" w:cs="Segoe UI"/>
          <w:color w:val="000000" w:themeColor="text1"/>
          <w:sz w:val="24"/>
          <w:szCs w:val="24"/>
          <w:shd w:val="clear" w:color="auto" w:fill="FFFFFF"/>
          <w14:textFill>
            <w14:solidFill>
              <w14:schemeClr w14:val="tx1"/>
            </w14:solidFill>
          </w14:textFill>
        </w:rPr>
        <w:t>40G企业级固态</w:t>
      </w:r>
      <w:r>
        <w:rPr>
          <w:rFonts w:hint="eastAsia" w:ascii="宋体" w:hAnsi="宋体" w:cs="Segoe UI"/>
          <w:color w:val="000000" w:themeColor="text1"/>
          <w:sz w:val="24"/>
          <w:szCs w:val="24"/>
          <w:shd w:val="clear" w:color="auto" w:fill="FFFFFF"/>
          <w14:textFill>
            <w14:solidFill>
              <w14:schemeClr w14:val="tx1"/>
            </w14:solidFill>
          </w14:textFill>
        </w:rPr>
        <w:t>加4块4</w:t>
      </w:r>
      <w:r>
        <w:rPr>
          <w:rFonts w:ascii="宋体" w:hAnsi="宋体" w:cs="Segoe UI"/>
          <w:color w:val="000000" w:themeColor="text1"/>
          <w:sz w:val="24"/>
          <w:szCs w:val="24"/>
          <w:shd w:val="clear" w:color="auto" w:fill="FFFFFF"/>
          <w14:textFill>
            <w14:solidFill>
              <w14:schemeClr w14:val="tx1"/>
            </w14:solidFill>
          </w14:textFill>
        </w:rPr>
        <w:t>T企业级硬盘</w:t>
      </w:r>
      <w:r>
        <w:rPr>
          <w:rFonts w:hint="eastAsia" w:ascii="宋体" w:hAnsi="宋体" w:cs="Segoe UI"/>
          <w:color w:val="000000" w:themeColor="text1"/>
          <w:sz w:val="24"/>
          <w:szCs w:val="24"/>
          <w:shd w:val="clear" w:color="auto" w:fill="FFFFFF"/>
          <w14:textFill>
            <w14:solidFill>
              <w14:schemeClr w14:val="tx1"/>
            </w14:solidFill>
          </w14:textFill>
        </w:rPr>
        <w:t>。通过三台服务器节点组成高可用基础平台，组成平台后实际可用资源CPU≥160核，内存≥640G,存储空间≥10T。业务系统运行在虚拟硬件资源上，要求1台服务器节点发生故障时，其余2台服务器节点预留资源充，足能够快速迁移系统接管业务。后期业务增加按需购置CPU、内存、硬盘资源即可完成扩容。</w:t>
      </w:r>
    </w:p>
    <w:p>
      <w:pPr>
        <w:spacing w:line="360" w:lineRule="auto"/>
        <w:rPr>
          <w:rFonts w:ascii="宋体" w:hAnsi="宋体" w:cs="Segoe UI"/>
          <w:b/>
          <w:color w:val="000000" w:themeColor="text1"/>
          <w:sz w:val="24"/>
          <w:szCs w:val="24"/>
          <w:shd w:val="clear" w:color="auto" w:fill="FFFFFF"/>
          <w14:textFill>
            <w14:solidFill>
              <w14:schemeClr w14:val="tx1"/>
            </w14:solidFill>
          </w14:textFill>
        </w:rPr>
      </w:pPr>
      <w:r>
        <w:rPr>
          <w:rFonts w:hint="eastAsia" w:ascii="宋体" w:hAnsi="宋体" w:cs="Segoe UI"/>
          <w:b/>
          <w:color w:val="000000" w:themeColor="text1"/>
          <w:sz w:val="24"/>
          <w:szCs w:val="24"/>
          <w:shd w:val="clear" w:color="auto" w:fill="FFFFFF"/>
          <w14:textFill>
            <w14:solidFill>
              <w14:schemeClr w14:val="tx1"/>
            </w14:solidFill>
          </w14:textFill>
        </w:rPr>
        <w:t>2、技术要求</w:t>
      </w:r>
    </w:p>
    <w:p>
      <w:pPr>
        <w:spacing w:line="360" w:lineRule="auto"/>
        <w:rPr>
          <w:rFonts w:ascii="宋体" w:hAnsi="宋体" w:cs="Segoe UI"/>
          <w:b/>
          <w:color w:val="000000" w:themeColor="text1"/>
          <w:sz w:val="24"/>
          <w:szCs w:val="24"/>
          <w:shd w:val="clear" w:color="auto" w:fill="FFFFFF"/>
          <w14:textFill>
            <w14:solidFill>
              <w14:schemeClr w14:val="tx1"/>
            </w14:solidFill>
          </w14:textFill>
        </w:rPr>
      </w:pPr>
    </w:p>
    <w:p>
      <w:pPr>
        <w:spacing w:line="360" w:lineRule="auto"/>
        <w:rPr>
          <w:rFonts w:ascii="宋体" w:hAnsi="宋体" w:cs="Segoe UI"/>
          <w:b/>
          <w:color w:val="000000" w:themeColor="text1"/>
          <w:sz w:val="24"/>
          <w:szCs w:val="24"/>
          <w:shd w:val="clear" w:color="auto" w:fill="FFFFFF"/>
          <w14:textFill>
            <w14:solidFill>
              <w14:schemeClr w14:val="tx1"/>
            </w14:solidFill>
          </w14:textFill>
        </w:rPr>
      </w:pPr>
    </w:p>
    <w:p>
      <w:pPr>
        <w:spacing w:line="360" w:lineRule="auto"/>
        <w:rPr>
          <w:rFonts w:ascii="宋体" w:hAnsi="宋体" w:cs="Segoe UI"/>
          <w:b/>
          <w:color w:val="000000" w:themeColor="text1"/>
          <w:sz w:val="24"/>
          <w:szCs w:val="24"/>
          <w:shd w:val="clear" w:color="auto" w:fill="FFFFFF"/>
          <w14:textFill>
            <w14:solidFill>
              <w14:schemeClr w14:val="tx1"/>
            </w14:solidFill>
          </w14:textFill>
        </w:rPr>
      </w:pPr>
    </w:p>
    <w:p>
      <w:pPr>
        <w:spacing w:line="360" w:lineRule="auto"/>
        <w:rPr>
          <w:rFonts w:ascii="宋体" w:hAnsi="宋体" w:cs="Segoe UI"/>
          <w:b/>
          <w:color w:val="000000" w:themeColor="text1"/>
          <w:sz w:val="24"/>
          <w:szCs w:val="24"/>
          <w:shd w:val="clear" w:color="auto" w:fill="FFFFFF"/>
          <w14:textFill>
            <w14:solidFill>
              <w14:schemeClr w14:val="tx1"/>
            </w14:solidFill>
          </w14:textFill>
        </w:rPr>
      </w:pPr>
    </w:p>
    <w:p>
      <w:pPr>
        <w:spacing w:line="360" w:lineRule="auto"/>
        <w:rPr>
          <w:rFonts w:ascii="宋体" w:hAnsi="宋体" w:cs="Segoe UI"/>
          <w:b/>
          <w:color w:val="000000" w:themeColor="text1"/>
          <w:sz w:val="24"/>
          <w:szCs w:val="24"/>
          <w:shd w:val="clear" w:color="auto" w:fill="FFFFFF"/>
          <w14:textFill>
            <w14:solidFill>
              <w14:schemeClr w14:val="tx1"/>
            </w14:solidFill>
          </w14:textFill>
        </w:rPr>
      </w:pPr>
    </w:p>
    <w:p>
      <w:pPr>
        <w:spacing w:line="360" w:lineRule="auto"/>
        <w:rPr>
          <w:rFonts w:ascii="宋体" w:hAnsi="宋体" w:cs="Segoe UI"/>
          <w:b/>
          <w:color w:val="000000" w:themeColor="text1"/>
          <w:sz w:val="24"/>
          <w:szCs w:val="24"/>
          <w:shd w:val="clear" w:color="auto" w:fill="FFFFFF"/>
          <w14:textFill>
            <w14:solidFill>
              <w14:schemeClr w14:val="tx1"/>
            </w14:solidFill>
          </w14:textFill>
        </w:rPr>
      </w:pPr>
    </w:p>
    <w:tbl>
      <w:tblPr>
        <w:tblStyle w:val="6"/>
        <w:tblW w:w="8088" w:type="dxa"/>
        <w:tblInd w:w="0" w:type="dxa"/>
        <w:tblLayout w:type="autofit"/>
        <w:tblCellMar>
          <w:top w:w="0" w:type="dxa"/>
          <w:left w:w="0" w:type="dxa"/>
          <w:bottom w:w="0" w:type="dxa"/>
          <w:right w:w="0" w:type="dxa"/>
        </w:tblCellMar>
      </w:tblPr>
      <w:tblGrid>
        <w:gridCol w:w="575"/>
        <w:gridCol w:w="1134"/>
        <w:gridCol w:w="6379"/>
      </w:tblGrid>
      <w:tr>
        <w:tblPrEx>
          <w:tblCellMar>
            <w:top w:w="0" w:type="dxa"/>
            <w:left w:w="0" w:type="dxa"/>
            <w:bottom w:w="0" w:type="dxa"/>
            <w:right w:w="0" w:type="dxa"/>
          </w:tblCellMar>
        </w:tblPrEx>
        <w:trPr>
          <w:trHeight w:val="315" w:hRule="atLeast"/>
        </w:trPr>
        <w:tc>
          <w:tcPr>
            <w:tcW w:w="57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rPr>
                <w:rFonts w:ascii="宋体" w:hAnsi="宋体" w:cs="宋体"/>
                <w:sz w:val="24"/>
                <w:szCs w:val="24"/>
              </w:rPr>
            </w:pPr>
            <w:r>
              <w:rPr>
                <w:rFonts w:hint="eastAsia" w:ascii="宋体" w:hAnsi="宋体" w:cs="宋体"/>
                <w:sz w:val="24"/>
                <w:szCs w:val="24"/>
              </w:rPr>
              <w:t>序号</w:t>
            </w:r>
          </w:p>
        </w:tc>
        <w:tc>
          <w:tcPr>
            <w:tcW w:w="113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rPr>
                <w:rFonts w:ascii="宋体" w:hAnsi="宋体" w:cs="宋体"/>
                <w:sz w:val="24"/>
                <w:szCs w:val="24"/>
              </w:rPr>
            </w:pPr>
            <w:r>
              <w:rPr>
                <w:rFonts w:hint="eastAsia" w:ascii="宋体" w:hAnsi="宋体" w:cs="宋体"/>
                <w:sz w:val="24"/>
                <w:szCs w:val="24"/>
              </w:rPr>
              <w:t>指标项</w:t>
            </w:r>
          </w:p>
        </w:tc>
        <w:tc>
          <w:tcPr>
            <w:tcW w:w="6379"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jc w:val="center"/>
              <w:rPr>
                <w:rFonts w:ascii="宋体" w:hAnsi="宋体" w:cs="宋体"/>
                <w:sz w:val="24"/>
                <w:szCs w:val="24"/>
              </w:rPr>
            </w:pPr>
            <w:r>
              <w:rPr>
                <w:rFonts w:hint="eastAsia" w:ascii="宋体" w:hAnsi="宋体" w:cs="宋体"/>
                <w:sz w:val="24"/>
                <w:szCs w:val="24"/>
              </w:rPr>
              <w:t>功能要求</w:t>
            </w:r>
          </w:p>
        </w:tc>
      </w:tr>
      <w:tr>
        <w:tblPrEx>
          <w:tblCellMar>
            <w:top w:w="0" w:type="dxa"/>
            <w:left w:w="0" w:type="dxa"/>
            <w:bottom w:w="0" w:type="dxa"/>
            <w:right w:w="0" w:type="dxa"/>
          </w:tblCellMar>
        </w:tblPrEx>
        <w:trPr>
          <w:trHeight w:val="408" w:hRule="atLeast"/>
        </w:trPr>
        <w:tc>
          <w:tcPr>
            <w:tcW w:w="57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rPr>
                <w:rFonts w:ascii="宋体" w:hAnsi="宋体" w:cs="宋体"/>
                <w:sz w:val="24"/>
                <w:szCs w:val="24"/>
              </w:rPr>
            </w:pPr>
            <w:r>
              <w:rPr>
                <w:rFonts w:hint="eastAsia" w:ascii="宋体" w:hAnsi="宋体" w:cs="宋体"/>
                <w:sz w:val="24"/>
                <w:szCs w:val="24"/>
              </w:rPr>
              <w:t>1</w:t>
            </w:r>
          </w:p>
        </w:tc>
        <w:tc>
          <w:tcPr>
            <w:tcW w:w="113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rPr>
                <w:rFonts w:ascii="宋体" w:hAnsi="宋体" w:cs="宋体"/>
                <w:sz w:val="24"/>
                <w:szCs w:val="24"/>
              </w:rPr>
            </w:pPr>
            <w:r>
              <w:rPr>
                <w:rFonts w:hint="eastAsia" w:ascii="宋体" w:hAnsi="宋体"/>
                <w:bCs/>
                <w:kern w:val="0"/>
                <w:sz w:val="24"/>
                <w:szCs w:val="24"/>
              </w:rPr>
              <w:t>硬件要求</w:t>
            </w:r>
          </w:p>
        </w:tc>
        <w:tc>
          <w:tcPr>
            <w:tcW w:w="6379"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 xml:space="preserve">1、CPU：每节点配置≥48个CPU物理内核；要求选用最新一代的Intel处理器，不低于Montage Jintide-C5220R处理器，核数≥24核，主频≥2.2GHz； </w:t>
            </w:r>
          </w:p>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2、内存：配置≥320GB DDR4；内存插槽总数≥24，支持单条内存最大容量≥64GB，最大支持内存总容量≥1.5TB；</w:t>
            </w:r>
          </w:p>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3、硬盘：配置企业级固态硬盘≥2*240GB；（系统盘）</w:t>
            </w:r>
          </w:p>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 xml:space="preserve">配置企业级固态硬盘≥2块，每块硬盘容量≥480GB； </w:t>
            </w:r>
          </w:p>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配置企业级机械硬盘≥4块，每块硬盘容量≥4TB；</w:t>
            </w:r>
          </w:p>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4、网卡：配置≥千兆电口 6个，万兆光口2个；</w:t>
            </w:r>
          </w:p>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5、电源：配置≥2个高效率白金电源，支持热插拔；</w:t>
            </w:r>
          </w:p>
        </w:tc>
      </w:tr>
      <w:tr>
        <w:tblPrEx>
          <w:tblCellMar>
            <w:top w:w="0" w:type="dxa"/>
            <w:left w:w="0" w:type="dxa"/>
            <w:bottom w:w="0" w:type="dxa"/>
            <w:right w:w="0" w:type="dxa"/>
          </w:tblCellMar>
        </w:tblPrEx>
        <w:trPr>
          <w:trHeight w:val="315" w:hRule="atLeast"/>
        </w:trPr>
        <w:tc>
          <w:tcPr>
            <w:tcW w:w="575"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rPr>
                <w:rFonts w:ascii="宋体" w:hAnsi="宋体" w:cs="宋体"/>
                <w:sz w:val="24"/>
                <w:szCs w:val="24"/>
              </w:rPr>
            </w:pPr>
            <w:r>
              <w:rPr>
                <w:rFonts w:ascii="宋体" w:hAnsi="宋体" w:cs="宋体"/>
                <w:sz w:val="24"/>
                <w:szCs w:val="24"/>
              </w:rPr>
              <w:t>2</w:t>
            </w:r>
          </w:p>
        </w:tc>
        <w:tc>
          <w:tcPr>
            <w:tcW w:w="1134"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rPr>
                <w:rFonts w:ascii="宋体" w:hAnsi="宋体" w:cs="宋体"/>
                <w:sz w:val="24"/>
                <w:szCs w:val="24"/>
              </w:rPr>
            </w:pPr>
            <w:r>
              <w:rPr>
                <w:rFonts w:hint="eastAsia"/>
              </w:rPr>
              <w:t>软件要求</w:t>
            </w:r>
          </w:p>
        </w:tc>
        <w:tc>
          <w:tcPr>
            <w:tcW w:w="6379"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超融合一体机需预装所需软件（三节点共6颗CPU授权服务器虚拟化软件+6颗CPU授权存储虚拟化软件+6颗CPU授权网络虚拟化软件）</w:t>
            </w:r>
          </w:p>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服务：软件一次性永久授权。</w:t>
            </w:r>
          </w:p>
        </w:tc>
      </w:tr>
      <w:tr>
        <w:tblPrEx>
          <w:tblCellMar>
            <w:top w:w="0" w:type="dxa"/>
            <w:left w:w="0" w:type="dxa"/>
            <w:bottom w:w="0" w:type="dxa"/>
            <w:right w:w="0" w:type="dxa"/>
          </w:tblCellMar>
        </w:tblPrEx>
        <w:trPr>
          <w:trHeight w:val="1142" w:hRule="atLeast"/>
        </w:trPr>
        <w:tc>
          <w:tcPr>
            <w:tcW w:w="575"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rPr>
                <w:rFonts w:ascii="宋体" w:hAnsi="宋体" w:cs="宋体"/>
                <w:sz w:val="24"/>
                <w:szCs w:val="24"/>
              </w:rPr>
            </w:pPr>
          </w:p>
        </w:tc>
        <w:tc>
          <w:tcPr>
            <w:tcW w:w="1134"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rPr>
                <w:rFonts w:ascii="宋体" w:hAnsi="宋体" w:cs="宋体"/>
                <w:sz w:val="24"/>
                <w:szCs w:val="24"/>
              </w:rPr>
            </w:pPr>
          </w:p>
        </w:tc>
        <w:tc>
          <w:tcPr>
            <w:tcW w:w="6379"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rPr>
                <w:rFonts w:ascii="宋体" w:hAnsi="宋体" w:cs="宋体"/>
                <w:sz w:val="24"/>
                <w:szCs w:val="24"/>
              </w:rPr>
            </w:pPr>
          </w:p>
        </w:tc>
      </w:tr>
      <w:tr>
        <w:tblPrEx>
          <w:tblCellMar>
            <w:top w:w="0" w:type="dxa"/>
            <w:left w:w="0" w:type="dxa"/>
            <w:bottom w:w="0" w:type="dxa"/>
            <w:right w:w="0" w:type="dxa"/>
          </w:tblCellMar>
        </w:tblPrEx>
        <w:trPr>
          <w:trHeight w:val="315" w:hRule="atLeast"/>
        </w:trPr>
        <w:tc>
          <w:tcPr>
            <w:tcW w:w="57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rPr>
                <w:rFonts w:ascii="宋体" w:hAnsi="宋体" w:cs="宋体"/>
                <w:sz w:val="24"/>
                <w:szCs w:val="24"/>
              </w:rPr>
            </w:pPr>
            <w:r>
              <w:rPr>
                <w:rFonts w:ascii="宋体" w:hAnsi="宋体" w:cs="宋体"/>
                <w:sz w:val="24"/>
                <w:szCs w:val="24"/>
              </w:rPr>
              <w:t>3</w:t>
            </w:r>
          </w:p>
        </w:tc>
        <w:tc>
          <w:tcPr>
            <w:tcW w:w="113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r>
              <w:rPr>
                <w:rFonts w:hint="eastAsia"/>
              </w:rPr>
              <w:t>功能要求</w:t>
            </w:r>
          </w:p>
        </w:tc>
        <w:tc>
          <w:tcPr>
            <w:tcW w:w="6379"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计算服务器虚拟化满足相关需求：</w:t>
            </w:r>
          </w:p>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1、采用分布式管理架构，去中心化，管理平台不依赖于某一个虚拟机或物理机部署</w:t>
            </w:r>
          </w:p>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2、底层资源池部分的（存储虚拟化、网络虚拟化）</w:t>
            </w:r>
          </w:p>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3、自动收集所有的相关的组件的日志，告警，提供告警合并和日志审计功能。</w:t>
            </w:r>
          </w:p>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4、支持平台中的集群资源环境一键检测，对硬件健康、平台底层的虚拟化的运行状态和配置，进行多个维度进行检查，提供快速定位问题功能，确保系统最佳状态。</w:t>
            </w:r>
          </w:p>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5、支持大屏展示便于管理员直观查看虚拟化资源池的使用情况和健康状态、存储命中率、主机命中率信息大屏展示等。</w:t>
            </w:r>
          </w:p>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 xml:space="preserve">6、支持进行监控和大屏展示，包含CPU，内存，RAID等硬件健康检测，便于及时发现问题并提供相应异常检测项的恢复指导建议。 </w:t>
            </w:r>
          </w:p>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 xml:space="preserve">7、支持对集群内物理主机和虚拟机关于CPU、内存的top 5轮播展示，方便判断物理机及虚拟机的资源负载情况。 </w:t>
            </w:r>
          </w:p>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8、支持集群不同之间的轮播切换展示，展示资源包括CPU，内存、磁盘等资源，辅助决策集群的扩容计划。</w:t>
            </w:r>
          </w:p>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9、支持设置告警类型（紧急和普通）、告警内容（集群、主机、虚拟机、CPU、内存、磁盘），针对告警信息平台可自动给出告警处理建议，同时支持将告警信息以短信和邮件方式发送给管理员。</w:t>
            </w:r>
          </w:p>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10、主机资源告警项支持主机CPU利用率、主机内存利用率，主机交换分区利用率，主机CPU温度异常，主机网口丢包率，并检测异常状态持续时间；支持主机网关不通，主机网口掉线，主机离线，数据通信口不通的监控告警，用户可自定义告警项并支持通过邮件和短信进行告警。</w:t>
            </w:r>
          </w:p>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11、虚拟机资源告警项支持虚拟机CPU利用率、内存利用率，虚拟机单网口链接session数过高，并检测异常状态持续时间，支持检测虚拟机镜像文件损坏，备份失败，虚拟机与外部网络不通的监控告警，用户可自定义告警项并支持通过邮件和短信进行告警。</w:t>
            </w:r>
          </w:p>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12、为避免主机假死导致系列问题发生，支持识别假死主机并标签化为亚健康主机，通过邮件或短信告警提醒用户进行处理，并限制重要业务在亚健康主机上运行，规避风险。</w:t>
            </w:r>
          </w:p>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13、支持磁盘亚健康监测，包括PCIE SSD寿命告警、硬盘卡、慢的检测和告警、IO错误告警、RAID卡错误告警等，支持邮件和短信告警。</w:t>
            </w:r>
          </w:p>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14、为了更好的保护用户数据，支持设置定期全量备份，支持用户灵活配置备份策略，备份文件保留时间最高可以达到15年，支持将虚拟机的备份文件定期归档到第二存储，最多可以保留100年。</w:t>
            </w:r>
          </w:p>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15、支持以EXCEL表格的方式导出虚拟机的配置信息，包括名称、IP、CPU内存磁盘配置、使用率信息。</w:t>
            </w:r>
          </w:p>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16、支持在管理界面提供基础的命令行功能，通过命令行可以进行基础的排障操作，简化用户运维操作。</w:t>
            </w:r>
          </w:p>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17、支持对平台虚拟机的精细化权限管理，可根据单个虚拟机开关机、打开控制台、删除等操作设定不同的权限，管理员也可以根据用户需求合理分配权限。</w:t>
            </w:r>
          </w:p>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18、虚拟机可以热扩容磁盘数量，同时也支持热扩容单个磁盘容量，虚拟机支持在线修改虚拟机名称，极大的提高了运维的便捷性。</w:t>
            </w:r>
          </w:p>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19、支持虚拟机的无代理备份，业务系统后续会逐渐迁移到超融合平台，加上规划未来3-5年的业务新增，需要能提供至少 300 个虚拟机的高性能备份功能，支持至少 1000T 的备份数据容量的许可，可将直接将虚拟机备份到磁盘，并支持生成全新虚拟机的方式进行恢复。</w:t>
            </w:r>
          </w:p>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20、虚拟化软件应基于KVM开发，可维护性好，部署时无需绑定安装OpenStack相关组件。</w:t>
            </w:r>
          </w:p>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21、当出现误删除虚拟机操作时，云平台需要能够有一次“反悔”的机会，尽可能保证操作的可逆性和正确性，平台提供虚拟机回收站功能，删除的虚拟设备会在回收站保留一段时间，方便找回，超期的资源将会被释放。</w:t>
            </w:r>
          </w:p>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 xml:space="preserve">22、支持界面可以选择勾选虚拟机卡死及蓝屏的检测功能项并实现自动重启的功能，无需人工干预减少运维工作量，同时对于有些业务系统不需要平台自动去拉起，需要人为界定是否需要手动拉起，则可以选择该功能项不勾选。 </w:t>
            </w:r>
          </w:p>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23、支持多种克隆方式，实现虚拟机秒级启动，可根据需求选择克隆方式，包括节省空间的基于源虚拟机镜像文件生成链接克隆虚拟机；和保证业务高性能的基于源虚拟机镜像文件生成链接克隆虚拟机, 后进行源虚拟机数据的完整拷贝。</w:t>
            </w:r>
          </w:p>
          <w:p>
            <w:pPr>
              <w:rPr>
                <w:rFonts w:ascii="宋体" w:hAnsi="宋体" w:cs="Segoe UI"/>
                <w:color w:val="333333"/>
                <w:sz w:val="24"/>
                <w:szCs w:val="24"/>
                <w:shd w:val="clear" w:color="auto" w:fill="FFFFFF"/>
              </w:rPr>
            </w:pPr>
          </w:p>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存储虚拟化满足相关需求：</w:t>
            </w:r>
          </w:p>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1、支持存储虚拟化功能，无需安装额外的软件，在一个统一的管理平台上使用License激活的方式即可开通使用，存储虚拟化与计算虚拟化为紧耦合架构，减少底层开销，提升性能。（提供产品功能截图）</w:t>
            </w:r>
          </w:p>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2、硬件出现故障导致副本缺失甚至业务中断，冗余度缺失、业务中断的情况下需要快速恢复业务，重要业务需要最快速恢复，其次按照平台策略的优先级进行恢复，需要支持数据重建优先级调整，在故障数据重新恢复时，可由用户指定优先重建的虚拟机，保证重要的业务优先恢复数据的安全性（需提供具有CNAS、CMA的第三方测试机构相应测试项的证明材料）。</w:t>
            </w:r>
          </w:p>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3、支持为虚拟磁盘配置不同的存储策略以满足特定场景的需求, 如系统盘和数据盘选择高性能策略, 备份盘选择低性能策略。</w:t>
            </w:r>
          </w:p>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4、支持数据重建智能保护业务性能，可以对数据重建速度进行智能限速，避免数据重建过程中IO性能占用导致对业务的性能造成影响。</w:t>
            </w:r>
          </w:p>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5、支持条带化功能，实现分布式raid0的性能提升效果，并且支持以虚拟磁盘为单位设置不同的条带数。</w:t>
            </w:r>
          </w:p>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6、支持坏道扫描功能，由用户设置扫描的时间段定期对集群的硬盘进行扫描，及时发现潜藏的坏道。</w:t>
            </w:r>
          </w:p>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7、支持坏道修复功能，发现坏道后，主动修复坏道区域的数据，及时恢复数据副本的冗余性。当硬盘的坏道数过多，系统能自动将该盘的数据迁移至其他健康的硬盘上，保障数据的安全。</w:t>
            </w:r>
          </w:p>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8、支持针对亚健康盘卡慢状态自动处理，能够隔离卡慢盘实现读写切源，避免卡慢盘影响集群的性能。</w:t>
            </w:r>
          </w:p>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9、支持对虚拟机或虚拟磁盘设置不同的缓存QoS能力，区分出高性能虚拟机、普通性能虚拟机和低性能虚拟机。</w:t>
            </w:r>
          </w:p>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10、支持针对虚拟机或虚拟磁盘设置数据分布策略，当采用副本聚合策略时，可以保证以性能优先为原则，实现IO本地读效果，当采用副本散列策略时，可以保证虚拟机以分布均匀优先为原则，打散分布均匀在各物理主机上。</w:t>
            </w:r>
          </w:p>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11、支持存储分卷功能，以物理磁盘为单位划分为不同的存储卷，可将集群内全闪存的节点组成一个高性能存储池，满足高性能应用需求，将混闪节点组成一个大容量存储池，满足低性能大容量应用需求。所有类型不同性能磁盘均可支持分区，包含SSD，SAS，SATA，NL-SAS等。</w:t>
            </w:r>
          </w:p>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12、为保证集群业务或者oracle rac数据库业务的快照一致性，以便故障时业务可通过快照恢复，支持对虚拟机一致性组同步进行快照。</w:t>
            </w:r>
          </w:p>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 xml:space="preserve">13、为了更好的保护用户数据，支持设置定期全量备份，支持用户灵活配置备份策略，备份文件保留时间最高可以达到15年，支持将虚拟机的备份文件定期归档到第二存储，最多可以保留100年， </w:t>
            </w:r>
          </w:p>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 xml:space="preserve">14、支持一键还原已删除的虚拟机，可恢复30天内已删除的虚拟机。 </w:t>
            </w:r>
          </w:p>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 xml:space="preserve">15、支持数据重建优先级调整，在故障数据重新恢复时，可由用户指定优先重建的虚拟机，保证重要的业务优先恢复数据的安全性。 </w:t>
            </w:r>
          </w:p>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16、支持智能预测硬盘寿命，并预估硬盘剩余可使用时间，进行实时预警，提醒用户在寿命到期之前可实现在对业务无影响的情况下安全更换硬盘。</w:t>
            </w:r>
          </w:p>
          <w:p>
            <w:pPr>
              <w:rPr>
                <w:rFonts w:ascii="宋体" w:hAnsi="宋体" w:cs="Segoe UI"/>
                <w:color w:val="333333"/>
                <w:sz w:val="24"/>
                <w:szCs w:val="24"/>
                <w:shd w:val="clear" w:color="auto" w:fill="FFFFFF"/>
              </w:rPr>
            </w:pPr>
          </w:p>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网络虚拟化满足相关需求：</w:t>
            </w:r>
          </w:p>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1、虚拟路由器支持HA功能，当虚拟路由器运行的主机出现故障时，可以实现故障自动恢复，保障业务的高可靠性。</w:t>
            </w:r>
          </w:p>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2、在管理平台上可以通过拖拽虚拟设备图标和连线就能完成网络拓扑的构建，快速的实现整个业务逻辑，支持对整个平台虚拟设备实现统一的管理，提升运维管理的工作效率。</w:t>
            </w:r>
          </w:p>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3、</w:t>
            </w:r>
            <w:r>
              <w:rPr>
                <w:rFonts w:hint="eastAsia" w:ascii="宋体" w:hAnsi="宋体" w:cs="Segoe UI"/>
                <w:color w:val="333333"/>
                <w:sz w:val="24"/>
                <w:szCs w:val="24"/>
                <w:shd w:val="clear" w:color="auto" w:fill="FFFFFF"/>
              </w:rPr>
              <w:tab/>
            </w:r>
            <w:r>
              <w:rPr>
                <w:rFonts w:hint="eastAsia" w:ascii="宋体" w:hAnsi="宋体" w:cs="Segoe UI"/>
                <w:color w:val="333333"/>
                <w:sz w:val="24"/>
                <w:szCs w:val="24"/>
                <w:shd w:val="clear" w:color="auto" w:fill="FFFFFF"/>
              </w:rPr>
              <w:t>支持第三方虚拟化兼容，在超融合平台可以做到方便统一运维管理。</w:t>
            </w:r>
          </w:p>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4、支持在本地管理平台实现对第三方虚拟化中的虚拟机备份，并能够在超融合的平台实现第三方虚拟化虚拟机的启动恢复。</w:t>
            </w:r>
          </w:p>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5、第三方虚拟化上面的业务逐渐迁移到超融合平台上面后不对业务做平台绑定，支持双向迁移，迁移结束后可选择自动或手动重启虚拟机。</w:t>
            </w:r>
          </w:p>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6、为保障业务的连续运行，可将第三方虚拟化虚拟机在运行状态下迁移到超融合平台上，也可将超融合平台上的虚拟机在运行状态下迁移到第三方虚拟化的集群中。（提供具有CNAS、CMA的第三方测试机构的相关项证明材料复印件并加盖投标人公章。）</w:t>
            </w:r>
          </w:p>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7、为尽可能保障数据中心断电场景下的业务，支持UPS联动，并在市电断电通过UPS临时供应电量，当UPS电量过低时，按照虚拟机优先级先将不重要的虚拟机进行软关机，可单独关联，可批量关联，也可修改已关联的主机与UPS。</w:t>
            </w:r>
          </w:p>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8、</w:t>
            </w:r>
            <w:r>
              <w:rPr>
                <w:rFonts w:hint="eastAsia" w:ascii="宋体" w:hAnsi="宋体" w:cs="Segoe UI"/>
                <w:color w:val="333333"/>
                <w:sz w:val="24"/>
                <w:szCs w:val="24"/>
                <w:shd w:val="clear" w:color="auto" w:fill="FFFFFF"/>
              </w:rPr>
              <w:tab/>
            </w:r>
            <w:r>
              <w:rPr>
                <w:rFonts w:hint="eastAsia" w:ascii="宋体" w:hAnsi="宋体" w:cs="Segoe UI"/>
                <w:color w:val="333333"/>
                <w:sz w:val="24"/>
                <w:szCs w:val="24"/>
                <w:shd w:val="clear" w:color="auto" w:fill="FFFFFF"/>
              </w:rPr>
              <w:t>支持添加UPS到集群，关联UPS到主机，设置关机策略，查看已自动关闭的虚拟机。</w:t>
            </w:r>
          </w:p>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9、支持自定义“核心虚拟机”，用户可以根据自身业务特点，选择需要后关机的虚拟机，重要虚拟机自动划分成核心虚拟机，未设置成重要虚拟机的划分成普通虚拟机；</w:t>
            </w:r>
          </w:p>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10、支持平台中的集群资源环境一键检测，对硬件健康、平台底层的虚拟化的运行状态和配置，进行多个维度进行检查，提供快速定位问题功能，确保系统最佳状态。</w:t>
            </w:r>
          </w:p>
          <w:p>
            <w:pPr>
              <w:rPr>
                <w:rFonts w:ascii="宋体" w:hAnsi="宋体" w:cs="Segoe UI"/>
                <w:color w:val="333333"/>
                <w:sz w:val="24"/>
                <w:szCs w:val="24"/>
                <w:shd w:val="clear" w:color="auto" w:fill="FFFFFF"/>
              </w:rPr>
            </w:pPr>
          </w:p>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虚拟防火墙满足相关需求：</w:t>
            </w:r>
          </w:p>
          <w:p>
            <w:pPr>
              <w:widowControl/>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1、提供同品牌紧耦合的虚拟应用防火墙，对重要业务进行7层应用防护；</w:t>
            </w:r>
          </w:p>
          <w:p>
            <w:pPr>
              <w:widowControl/>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2、支持DDoS攻击防护、Web应用安全防护、入侵防护功能、支持URL过滤和文件过滤功能、僵尸主机检测、病毒防护、网页篡改防护等功能，保障业务的高安全性；</w:t>
            </w:r>
          </w:p>
          <w:p>
            <w:pPr>
              <w:widowControl/>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3、具备独立的僵尸主机识别特征库，恶意软件识别特征总数在50万条以上；</w:t>
            </w:r>
          </w:p>
          <w:p>
            <w:pPr>
              <w:widowControl/>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4）支持对常见应用服务（FTP、SSH、SMTP、IMAP）和数据库软件（MySQL、Oracle、MSSQL）的口令暴力破解防护功能，全面保障业务的安全；</w:t>
            </w:r>
          </w:p>
          <w:p>
            <w:pPr>
              <w:widowControl/>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5、具备对常见网络协议（SSH、FTP、RDP、VNC、Netbios）和数据库（MySQL、Oracle、MSSQL）的弱密码扫描功能，全面保障业务的安全；</w:t>
            </w:r>
          </w:p>
          <w:p>
            <w:pPr>
              <w:widowControl/>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6、可提供最新的威胁情报信息，能够对新爆发的流行高危漏洞进行预警和自动检测，发现问题后支持一键生成防护规则，能够及时的进行安全防护，全面保障业务的安全；</w:t>
            </w:r>
          </w:p>
          <w:p>
            <w:pPr>
              <w:widowControl/>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7、支持B/S服务漏洞扫描功能，可扫描WEB网站是否存在SQL注入、XSS、跨站脚本、目录遍历、文件包含、命令执行等脚本漏洞，全面保障业务的安全；</w:t>
            </w:r>
          </w:p>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8、提供安全报表，报表内容体现被保护对象的整体安全等级，发现漏洞情况以及遭受到攻击的漏洞统计，可以查看到有效攻击行为次数和攻击趋势。</w:t>
            </w:r>
          </w:p>
        </w:tc>
      </w:tr>
    </w:tbl>
    <w:p>
      <w:pPr>
        <w:outlineLvl w:val="0"/>
        <w:rPr>
          <w:rFonts w:asciiTheme="minorEastAsia" w:hAnsiTheme="minorEastAsia"/>
          <w:b/>
          <w:sz w:val="24"/>
          <w:szCs w:val="24"/>
        </w:rPr>
      </w:pPr>
    </w:p>
    <w:p/>
    <w:p>
      <w:pPr>
        <w:jc w:val="left"/>
        <w:rPr>
          <w:b/>
          <w:sz w:val="28"/>
          <w:szCs w:val="28"/>
        </w:rPr>
      </w:pPr>
      <w:r>
        <w:rPr>
          <w:rFonts w:hint="eastAsia"/>
          <w:b/>
          <w:sz w:val="28"/>
          <w:szCs w:val="28"/>
          <w:lang w:val="en-US" w:eastAsia="zh-CN"/>
        </w:rPr>
        <w:t>五</w:t>
      </w:r>
      <w:r>
        <w:rPr>
          <w:b/>
          <w:sz w:val="28"/>
          <w:szCs w:val="28"/>
        </w:rPr>
        <w:t>、实施要求</w:t>
      </w:r>
    </w:p>
    <w:p>
      <w:pPr>
        <w:ind w:firstLine="560" w:firstLineChars="200"/>
        <w:jc w:val="left"/>
        <w:rPr>
          <w:sz w:val="28"/>
          <w:szCs w:val="28"/>
        </w:rPr>
      </w:pPr>
      <w:r>
        <w:rPr>
          <w:rFonts w:hint="eastAsia"/>
          <w:sz w:val="28"/>
          <w:szCs w:val="28"/>
        </w:rPr>
        <w:t>1、</w:t>
      </w:r>
      <w:r>
        <w:rPr>
          <w:sz w:val="28"/>
          <w:szCs w:val="28"/>
        </w:rPr>
        <w:t>系统在合同签订后通过验收前必须安排专业实施人员驻场实施，医院有权根据实施情况要求更换项目经理和实施人员。</w:t>
      </w:r>
    </w:p>
    <w:p>
      <w:pPr>
        <w:ind w:firstLine="560" w:firstLineChars="200"/>
        <w:jc w:val="left"/>
        <w:rPr>
          <w:sz w:val="28"/>
          <w:szCs w:val="28"/>
        </w:rPr>
      </w:pPr>
      <w:r>
        <w:rPr>
          <w:rFonts w:hint="eastAsia"/>
          <w:sz w:val="28"/>
          <w:szCs w:val="28"/>
        </w:rPr>
        <w:t>2、</w:t>
      </w:r>
      <w:r>
        <w:rPr>
          <w:sz w:val="28"/>
          <w:szCs w:val="28"/>
        </w:rPr>
        <w:t>供应商应全力与</w:t>
      </w:r>
      <w:r>
        <w:rPr>
          <w:rFonts w:hint="eastAsia"/>
          <w:sz w:val="28"/>
          <w:szCs w:val="28"/>
        </w:rPr>
        <w:t>采购人</w:t>
      </w:r>
      <w:r>
        <w:rPr>
          <w:sz w:val="28"/>
          <w:szCs w:val="28"/>
        </w:rPr>
        <w:t>配合，根据</w:t>
      </w:r>
      <w:r>
        <w:rPr>
          <w:rFonts w:hint="eastAsia"/>
          <w:sz w:val="28"/>
          <w:szCs w:val="28"/>
        </w:rPr>
        <w:t>采购人</w:t>
      </w:r>
      <w:r>
        <w:rPr>
          <w:sz w:val="28"/>
          <w:szCs w:val="28"/>
        </w:rPr>
        <w:t>详细需求，提交实施方案，保证系统按时、正常地投入运行。</w:t>
      </w:r>
    </w:p>
    <w:p>
      <w:pPr>
        <w:ind w:firstLine="560" w:firstLineChars="200"/>
        <w:jc w:val="left"/>
        <w:rPr>
          <w:sz w:val="28"/>
          <w:szCs w:val="28"/>
        </w:rPr>
      </w:pPr>
      <w:r>
        <w:rPr>
          <w:rFonts w:hint="eastAsia"/>
          <w:sz w:val="28"/>
          <w:szCs w:val="28"/>
        </w:rPr>
        <w:t>3、</w:t>
      </w:r>
      <w:r>
        <w:rPr>
          <w:sz w:val="28"/>
          <w:szCs w:val="28"/>
        </w:rPr>
        <w:t>双方签署最终验收文件时，</w:t>
      </w:r>
      <w:r>
        <w:rPr>
          <w:rFonts w:hint="eastAsia"/>
          <w:sz w:val="28"/>
          <w:szCs w:val="28"/>
        </w:rPr>
        <w:t>成交供应商</w:t>
      </w:r>
      <w:r>
        <w:rPr>
          <w:sz w:val="28"/>
          <w:szCs w:val="28"/>
        </w:rPr>
        <w:t>提交全套、完整的系统安装手册、配置、管理及维护的全面技术资料，以及系统使用说明书、计划总结、培训文档等资料，并有责任帮助整理、装订、归档。</w:t>
      </w:r>
    </w:p>
    <w:p>
      <w:pPr>
        <w:ind w:firstLine="560" w:firstLineChars="200"/>
        <w:jc w:val="left"/>
        <w:rPr>
          <w:sz w:val="28"/>
          <w:szCs w:val="28"/>
        </w:rPr>
      </w:pPr>
      <w:r>
        <w:rPr>
          <w:rFonts w:hint="eastAsia"/>
          <w:sz w:val="28"/>
          <w:szCs w:val="28"/>
        </w:rPr>
        <w:t>4、</w:t>
      </w:r>
      <w:r>
        <w:rPr>
          <w:sz w:val="28"/>
          <w:szCs w:val="28"/>
        </w:rPr>
        <w:t>培训要求</w:t>
      </w:r>
    </w:p>
    <w:p>
      <w:pPr>
        <w:ind w:firstLine="420" w:firstLineChars="150"/>
        <w:jc w:val="left"/>
        <w:rPr>
          <w:sz w:val="28"/>
          <w:szCs w:val="28"/>
        </w:rPr>
      </w:pPr>
      <w:r>
        <w:rPr>
          <w:sz w:val="28"/>
          <w:szCs w:val="28"/>
        </w:rPr>
        <w:t>（1）在系统安装实施完成并正式交付</w:t>
      </w:r>
      <w:r>
        <w:rPr>
          <w:rFonts w:hint="eastAsia"/>
          <w:sz w:val="28"/>
          <w:szCs w:val="28"/>
        </w:rPr>
        <w:t>采购人</w:t>
      </w:r>
      <w:r>
        <w:rPr>
          <w:sz w:val="28"/>
          <w:szCs w:val="28"/>
        </w:rPr>
        <w:t>使用之前，负责培训相关操作使用人员，保证系统使用效果。</w:t>
      </w:r>
    </w:p>
    <w:p>
      <w:pPr>
        <w:ind w:firstLine="420" w:firstLineChars="150"/>
        <w:jc w:val="left"/>
        <w:rPr>
          <w:sz w:val="28"/>
          <w:szCs w:val="28"/>
        </w:rPr>
      </w:pPr>
      <w:r>
        <w:rPr>
          <w:sz w:val="28"/>
          <w:szCs w:val="28"/>
        </w:rPr>
        <w:t>（2）培训目标：信息科技术人员经培训后应能熟练地掌握软件的维护工作并能及时排除软件故障；使用人员能熟练使用软件系统功能。</w:t>
      </w:r>
    </w:p>
    <w:p>
      <w:pPr>
        <w:ind w:firstLine="420" w:firstLineChars="150"/>
        <w:jc w:val="left"/>
        <w:rPr>
          <w:sz w:val="28"/>
          <w:szCs w:val="28"/>
        </w:rPr>
      </w:pPr>
      <w:r>
        <w:rPr>
          <w:sz w:val="28"/>
          <w:szCs w:val="28"/>
        </w:rPr>
        <w:t>（3）</w:t>
      </w:r>
      <w:r>
        <w:rPr>
          <w:rFonts w:hint="eastAsia"/>
          <w:sz w:val="28"/>
          <w:szCs w:val="28"/>
        </w:rPr>
        <w:t>供应商</w:t>
      </w:r>
      <w:r>
        <w:rPr>
          <w:sz w:val="28"/>
          <w:szCs w:val="28"/>
        </w:rPr>
        <w:t>提供详细的培训计划、培训内容。</w:t>
      </w:r>
    </w:p>
    <w:p>
      <w:pPr>
        <w:ind w:firstLine="420" w:firstLineChars="150"/>
        <w:jc w:val="left"/>
        <w:rPr>
          <w:sz w:val="28"/>
          <w:szCs w:val="28"/>
        </w:rPr>
      </w:pPr>
      <w:r>
        <w:rPr>
          <w:sz w:val="28"/>
          <w:szCs w:val="28"/>
        </w:rPr>
        <w:t>（4）</w:t>
      </w:r>
      <w:r>
        <w:rPr>
          <w:rFonts w:hint="eastAsia"/>
          <w:sz w:val="28"/>
          <w:szCs w:val="28"/>
        </w:rPr>
        <w:t>供应商</w:t>
      </w:r>
      <w:r>
        <w:rPr>
          <w:sz w:val="28"/>
          <w:szCs w:val="28"/>
        </w:rPr>
        <w:t>提供产品操作手册纸质文件和电子文件，方便用户学习和使用。</w:t>
      </w:r>
    </w:p>
    <w:p>
      <w:pPr>
        <w:ind w:firstLine="141" w:firstLineChars="50"/>
        <w:jc w:val="left"/>
        <w:rPr>
          <w:b/>
          <w:sz w:val="28"/>
          <w:szCs w:val="28"/>
        </w:rPr>
      </w:pPr>
      <w:r>
        <w:rPr>
          <w:rFonts w:hint="eastAsia"/>
          <w:b/>
          <w:sz w:val="28"/>
          <w:szCs w:val="28"/>
          <w:lang w:val="en-US" w:eastAsia="zh-CN"/>
        </w:rPr>
        <w:t>六</w:t>
      </w:r>
      <w:r>
        <w:rPr>
          <w:rFonts w:hint="eastAsia"/>
          <w:b/>
          <w:sz w:val="28"/>
          <w:szCs w:val="28"/>
        </w:rPr>
        <w:t>、</w:t>
      </w:r>
      <w:r>
        <w:rPr>
          <w:b/>
          <w:sz w:val="28"/>
          <w:szCs w:val="28"/>
        </w:rPr>
        <w:t>售后服务要求</w:t>
      </w:r>
    </w:p>
    <w:p>
      <w:pPr>
        <w:ind w:firstLine="562" w:firstLineChars="200"/>
        <w:jc w:val="left"/>
        <w:rPr>
          <w:b/>
          <w:sz w:val="28"/>
          <w:szCs w:val="28"/>
        </w:rPr>
      </w:pPr>
      <w:r>
        <w:rPr>
          <w:rFonts w:hint="eastAsia"/>
          <w:b/>
          <w:sz w:val="28"/>
          <w:szCs w:val="28"/>
        </w:rPr>
        <w:t>1、项目免费维保期不低于</w:t>
      </w:r>
      <w:r>
        <w:rPr>
          <w:rFonts w:hint="eastAsia"/>
          <w:b/>
          <w:sz w:val="28"/>
          <w:szCs w:val="28"/>
          <w:lang w:val="en-US" w:eastAsia="zh-CN"/>
        </w:rPr>
        <w:t>3</w:t>
      </w:r>
      <w:r>
        <w:rPr>
          <w:rFonts w:hint="eastAsia"/>
          <w:b/>
          <w:sz w:val="28"/>
          <w:szCs w:val="28"/>
        </w:rPr>
        <w:t>年，</w:t>
      </w:r>
      <w:r>
        <w:rPr>
          <w:b/>
          <w:sz w:val="28"/>
          <w:szCs w:val="28"/>
        </w:rPr>
        <w:t>免费</w:t>
      </w:r>
      <w:r>
        <w:rPr>
          <w:rFonts w:hint="eastAsia"/>
          <w:b/>
          <w:sz w:val="28"/>
          <w:szCs w:val="28"/>
        </w:rPr>
        <w:t>维保期</w:t>
      </w:r>
      <w:r>
        <w:rPr>
          <w:b/>
          <w:sz w:val="28"/>
          <w:szCs w:val="28"/>
        </w:rPr>
        <w:t>从</w:t>
      </w:r>
      <w:r>
        <w:rPr>
          <w:rFonts w:hint="eastAsia"/>
          <w:b/>
          <w:sz w:val="28"/>
          <w:szCs w:val="28"/>
        </w:rPr>
        <w:t>验收合格之日起算起。</w:t>
      </w:r>
    </w:p>
    <w:p>
      <w:pPr>
        <w:ind w:firstLine="560" w:firstLineChars="200"/>
        <w:jc w:val="left"/>
        <w:rPr>
          <w:sz w:val="28"/>
          <w:szCs w:val="28"/>
        </w:rPr>
      </w:pPr>
      <w:r>
        <w:rPr>
          <w:rFonts w:hint="eastAsia"/>
          <w:sz w:val="28"/>
          <w:szCs w:val="28"/>
        </w:rPr>
        <w:t>2、</w:t>
      </w:r>
      <w:r>
        <w:rPr>
          <w:sz w:val="28"/>
          <w:szCs w:val="28"/>
        </w:rPr>
        <w:t>在当地有专业的售后服务工程师，提供 7 X 24 小时技术支持，为</w:t>
      </w:r>
      <w:r>
        <w:rPr>
          <w:rFonts w:hint="eastAsia"/>
          <w:sz w:val="28"/>
          <w:szCs w:val="28"/>
        </w:rPr>
        <w:t>采购人</w:t>
      </w:r>
      <w:r>
        <w:rPr>
          <w:sz w:val="28"/>
          <w:szCs w:val="28"/>
        </w:rPr>
        <w:t>提供及时的售后服务，解决</w:t>
      </w:r>
      <w:r>
        <w:rPr>
          <w:rFonts w:hint="eastAsia"/>
          <w:sz w:val="28"/>
          <w:szCs w:val="28"/>
        </w:rPr>
        <w:t>采购人</w:t>
      </w:r>
      <w:r>
        <w:rPr>
          <w:sz w:val="28"/>
          <w:szCs w:val="28"/>
        </w:rPr>
        <w:t>在系统使用中遇到的问题。</w:t>
      </w:r>
    </w:p>
    <w:p>
      <w:pPr>
        <w:ind w:firstLine="560" w:firstLineChars="200"/>
        <w:jc w:val="left"/>
        <w:rPr>
          <w:sz w:val="28"/>
          <w:szCs w:val="28"/>
        </w:rPr>
      </w:pPr>
      <w:r>
        <w:rPr>
          <w:rFonts w:hint="eastAsia"/>
          <w:sz w:val="28"/>
          <w:szCs w:val="28"/>
        </w:rPr>
        <w:t>3、</w:t>
      </w:r>
      <w:r>
        <w:rPr>
          <w:sz w:val="28"/>
          <w:szCs w:val="28"/>
        </w:rPr>
        <w:t>当系统出现故障时，供应商必须在 4 小时内响应，并提出相应的解决方案。系统发生任何主要问题，</w:t>
      </w:r>
      <w:r>
        <w:rPr>
          <w:rFonts w:hint="eastAsia"/>
          <w:sz w:val="28"/>
          <w:szCs w:val="28"/>
        </w:rPr>
        <w:t>供应商</w:t>
      </w:r>
      <w:r>
        <w:rPr>
          <w:sz w:val="28"/>
          <w:szCs w:val="28"/>
        </w:rPr>
        <w:t>应及时提供所必须的技术与其它支援；系统发生重大故障时，</w:t>
      </w:r>
      <w:r>
        <w:rPr>
          <w:rFonts w:hint="eastAsia"/>
          <w:sz w:val="28"/>
          <w:szCs w:val="28"/>
        </w:rPr>
        <w:t>供应商</w:t>
      </w:r>
      <w:r>
        <w:rPr>
          <w:sz w:val="28"/>
          <w:szCs w:val="28"/>
        </w:rPr>
        <w:t>技术人员必须 6小时内到达事故现场进行解决问题。</w:t>
      </w:r>
    </w:p>
    <w:p>
      <w:pPr>
        <w:widowControl/>
        <w:ind w:firstLine="560" w:firstLineChars="200"/>
        <w:jc w:val="left"/>
        <w:rPr>
          <w:rFonts w:hint="eastAsia"/>
          <w:sz w:val="28"/>
          <w:szCs w:val="28"/>
        </w:rPr>
      </w:pPr>
    </w:p>
    <w:p>
      <w:pPr>
        <w:widowControl/>
        <w:ind w:firstLine="562" w:firstLineChars="200"/>
        <w:jc w:val="left"/>
        <w:rPr>
          <w:b/>
          <w:sz w:val="28"/>
          <w:szCs w:val="28"/>
        </w:rPr>
      </w:pPr>
      <w:r>
        <w:rPr>
          <w:b/>
          <w:sz w:val="28"/>
          <w:szCs w:val="28"/>
        </w:rPr>
        <w:br w:type="page"/>
      </w:r>
    </w:p>
    <w:p>
      <w:pPr>
        <w:pStyle w:val="5"/>
        <w:shd w:val="clear" w:color="auto" w:fill="FFFFFF"/>
        <w:spacing w:before="0" w:beforeAutospacing="0" w:after="150" w:afterAutospacing="0" w:line="360" w:lineRule="auto"/>
        <w:ind w:firstLine="480"/>
        <w:jc w:val="center"/>
        <w:rPr>
          <w:rFonts w:cs="Helvetica" w:asciiTheme="minorEastAsia" w:hAnsiTheme="minorEastAsia" w:eastAsiaTheme="minorEastAsia"/>
          <w:b/>
          <w:color w:val="333333"/>
          <w:sz w:val="28"/>
          <w:szCs w:val="28"/>
        </w:rPr>
      </w:pPr>
      <w:bookmarkStart w:id="1" w:name="OLE_LINK15"/>
      <w:bookmarkStart w:id="2" w:name="OLE_LINK21"/>
      <w:bookmarkStart w:id="3" w:name="OLE_LINK19"/>
      <w:bookmarkStart w:id="4" w:name="OLE_LINK18"/>
      <w:bookmarkStart w:id="5" w:name="OLE_LINK16"/>
      <w:bookmarkStart w:id="6" w:name="OLE_LINK17"/>
      <w:bookmarkStart w:id="7" w:name="OLE_LINK20"/>
      <w:r>
        <w:rPr>
          <w:rFonts w:hint="eastAsia" w:cs="Helvetica" w:asciiTheme="minorEastAsia" w:hAnsiTheme="minorEastAsia" w:eastAsiaTheme="minorEastAsia"/>
          <w:b/>
          <w:color w:val="333333"/>
          <w:sz w:val="28"/>
          <w:szCs w:val="28"/>
        </w:rPr>
        <w:t>第三章  评分标准</w:t>
      </w:r>
    </w:p>
    <w:tbl>
      <w:tblPr>
        <w:tblStyle w:val="7"/>
        <w:tblpPr w:leftFromText="180" w:rightFromText="180" w:vertAnchor="text" w:horzAnchor="margin" w:tblpY="943"/>
        <w:tblOverlap w:val="never"/>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4"/>
        <w:gridCol w:w="541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74" w:type="dxa"/>
            <w:vAlign w:val="center"/>
          </w:tcPr>
          <w:p>
            <w:pPr>
              <w:spacing w:before="60" w:after="60"/>
              <w:jc w:val="center"/>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b/>
                <w:bCs/>
                <w:color w:val="000000" w:themeColor="text1"/>
                <w:kern w:val="0"/>
                <w:sz w:val="20"/>
                <w:szCs w:val="20"/>
                <w14:textFill>
                  <w14:solidFill>
                    <w14:schemeClr w14:val="tx1"/>
                  </w14:solidFill>
                </w14:textFill>
              </w:rPr>
              <w:t>评审项目</w:t>
            </w:r>
          </w:p>
        </w:tc>
        <w:tc>
          <w:tcPr>
            <w:tcW w:w="5414" w:type="dxa"/>
            <w:vAlign w:val="center"/>
          </w:tcPr>
          <w:p>
            <w:pPr>
              <w:spacing w:before="60" w:after="60"/>
              <w:jc w:val="center"/>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b/>
                <w:bCs/>
                <w:color w:val="000000" w:themeColor="text1"/>
                <w:kern w:val="0"/>
                <w:sz w:val="20"/>
                <w:szCs w:val="20"/>
                <w14:textFill>
                  <w14:solidFill>
                    <w14:schemeClr w14:val="tx1"/>
                  </w14:solidFill>
                </w14:textFill>
              </w:rPr>
              <w:t>评审因素</w:t>
            </w:r>
          </w:p>
        </w:tc>
        <w:tc>
          <w:tcPr>
            <w:tcW w:w="1417" w:type="dxa"/>
          </w:tcPr>
          <w:p>
            <w:pPr>
              <w:spacing w:before="60" w:after="60"/>
              <w:jc w:val="center"/>
              <w:rPr>
                <w:rFonts w:cs="宋体" w:asciiTheme="minorEastAsia" w:hAnsiTheme="minorEastAsia"/>
                <w:b/>
                <w:bCs/>
                <w:color w:val="000000" w:themeColor="text1"/>
                <w:kern w:val="0"/>
                <w:sz w:val="20"/>
                <w:szCs w:val="20"/>
                <w14:textFill>
                  <w14:solidFill>
                    <w14:schemeClr w14:val="tx1"/>
                  </w14:solidFill>
                </w14:textFill>
              </w:rPr>
            </w:pPr>
            <w:r>
              <w:rPr>
                <w:rFonts w:hint="eastAsia" w:cs="宋体" w:asciiTheme="minorEastAsia" w:hAnsiTheme="minorEastAsia"/>
                <w:b/>
                <w:bCs/>
                <w:color w:val="000000" w:themeColor="text1"/>
                <w:kern w:val="0"/>
                <w:sz w:val="20"/>
                <w:szCs w:val="20"/>
                <w14:textFill>
                  <w14:solidFill>
                    <w14:schemeClr w14:val="tx1"/>
                  </w14:solidFill>
                </w14:textFill>
              </w:rPr>
              <w:t>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vAlign w:val="center"/>
          </w:tcPr>
          <w:p>
            <w:pPr>
              <w:spacing w:before="60" w:after="60"/>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投标报价</w:t>
            </w:r>
          </w:p>
        </w:tc>
        <w:tc>
          <w:tcPr>
            <w:tcW w:w="5414" w:type="dxa"/>
            <w:vAlign w:val="center"/>
          </w:tcPr>
          <w:p>
            <w:pPr>
              <w:spacing w:before="60" w:after="60"/>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满足招标文件要求且投标价格最低的投标报价为评标基准价，其价格分为满分30分。</w:t>
            </w:r>
          </w:p>
          <w:p>
            <w:pPr>
              <w:spacing w:before="60" w:after="60"/>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其它报价得分=评标基准价÷（投标报价）×30。</w:t>
            </w:r>
          </w:p>
          <w:p>
            <w:pPr>
              <w:spacing w:before="60" w:after="60"/>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超出招标控制价的为无效报价。</w:t>
            </w:r>
          </w:p>
        </w:tc>
        <w:tc>
          <w:tcPr>
            <w:tcW w:w="1417" w:type="dxa"/>
            <w:vAlign w:val="center"/>
          </w:tcPr>
          <w:p>
            <w:pPr>
              <w:spacing w:before="60" w:after="60"/>
              <w:jc w:val="center"/>
              <w:rPr>
                <w:rFonts w:cs="宋体" w:asciiTheme="minorEastAsia" w:hAnsiTheme="minorEastAsia"/>
                <w:color w:val="000000" w:themeColor="text1"/>
                <w:kern w:val="0"/>
                <w:sz w:val="20"/>
                <w:szCs w:val="20"/>
                <w14:textFill>
                  <w14:solidFill>
                    <w14:schemeClr w14:val="tx1"/>
                  </w14:solidFill>
                </w14:textFill>
              </w:rPr>
            </w:pPr>
            <w:r>
              <w:rPr>
                <w:rStyle w:val="13"/>
                <w:rFonts w:hint="default" w:asciiTheme="minorEastAsia" w:hAnsiTheme="minorEastAsia"/>
                <w:sz w:val="20"/>
                <w:szCs w:val="20"/>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vAlign w:val="center"/>
          </w:tcPr>
          <w:p>
            <w:pPr>
              <w:spacing w:before="60" w:after="60"/>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企业业绩</w:t>
            </w:r>
          </w:p>
        </w:tc>
        <w:tc>
          <w:tcPr>
            <w:tcW w:w="5414" w:type="dxa"/>
            <w:vAlign w:val="center"/>
          </w:tcPr>
          <w:p>
            <w:pPr>
              <w:widowControl/>
              <w:spacing w:before="60" w:after="60"/>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近3年内已完成的同类项目，每份得2分，最高得6分。（合同原件和验收报告原件，不提供原件不得分。）</w:t>
            </w:r>
          </w:p>
        </w:tc>
        <w:tc>
          <w:tcPr>
            <w:tcW w:w="1417" w:type="dxa"/>
            <w:vAlign w:val="center"/>
          </w:tcPr>
          <w:p>
            <w:pPr>
              <w:widowControl/>
              <w:spacing w:before="60" w:after="60"/>
              <w:jc w:val="center"/>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vAlign w:val="center"/>
          </w:tcPr>
          <w:p>
            <w:pPr>
              <w:spacing w:before="60" w:after="60"/>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响应情况</w:t>
            </w:r>
          </w:p>
        </w:tc>
        <w:tc>
          <w:tcPr>
            <w:tcW w:w="5414" w:type="dxa"/>
            <w:vAlign w:val="center"/>
          </w:tcPr>
          <w:p>
            <w:pPr>
              <w:widowControl/>
              <w:spacing w:before="60" w:after="60"/>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根据供应商对招标文件的响应程度进行评分。</w:t>
            </w:r>
          </w:p>
          <w:p>
            <w:pPr>
              <w:widowControl/>
              <w:spacing w:before="60" w:after="60"/>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完全响应招标文件没有负偏离的得10分，非实质性负偏离的每一项扣1分，出现5条及以上负偏离的，响应情况项不得分。</w:t>
            </w:r>
          </w:p>
        </w:tc>
        <w:tc>
          <w:tcPr>
            <w:tcW w:w="1417" w:type="dxa"/>
            <w:vAlign w:val="center"/>
          </w:tcPr>
          <w:p>
            <w:pPr>
              <w:widowControl/>
              <w:spacing w:before="60" w:after="60"/>
              <w:jc w:val="center"/>
              <w:rPr>
                <w:rFonts w:cs="宋体" w:asciiTheme="minorEastAsia" w:hAnsiTheme="minorEastAsia"/>
                <w:color w:val="000000" w:themeColor="text1"/>
                <w:kern w:val="0"/>
                <w:sz w:val="20"/>
                <w:szCs w:val="20"/>
                <w14:textFill>
                  <w14:solidFill>
                    <w14:schemeClr w14:val="tx1"/>
                  </w14:solidFill>
                </w14:textFill>
              </w:rPr>
            </w:pPr>
            <w:r>
              <w:rPr>
                <w:rStyle w:val="13"/>
                <w:rFonts w:hint="default" w:asciiTheme="minorEastAsia" w:hAnsiTheme="minorEastAsia"/>
                <w:sz w:val="20"/>
                <w:szCs w:val="20"/>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vAlign w:val="center"/>
          </w:tcPr>
          <w:p>
            <w:pPr>
              <w:spacing w:before="60" w:after="60"/>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企业资质</w:t>
            </w:r>
          </w:p>
        </w:tc>
        <w:tc>
          <w:tcPr>
            <w:tcW w:w="5414" w:type="dxa"/>
            <w:vAlign w:val="center"/>
          </w:tcPr>
          <w:p>
            <w:pPr>
              <w:spacing w:line="360" w:lineRule="auto"/>
              <w:rPr>
                <w:rFonts w:asciiTheme="minorEastAsia" w:hAnsiTheme="minorEastAsia"/>
                <w:kern w:val="0"/>
                <w:sz w:val="20"/>
                <w:szCs w:val="20"/>
              </w:rPr>
            </w:pPr>
            <w:r>
              <w:rPr>
                <w:rFonts w:hint="eastAsia" w:asciiTheme="minorEastAsia" w:hAnsiTheme="minorEastAsia"/>
                <w:kern w:val="0"/>
                <w:sz w:val="20"/>
                <w:szCs w:val="20"/>
              </w:rPr>
              <w:t>1</w:t>
            </w:r>
            <w:r>
              <w:rPr>
                <w:rFonts w:asciiTheme="minorEastAsia" w:hAnsiTheme="minorEastAsia"/>
                <w:kern w:val="0"/>
                <w:sz w:val="20"/>
                <w:szCs w:val="20"/>
              </w:rPr>
              <w:t>.</w:t>
            </w:r>
            <w:r>
              <w:rPr>
                <w:rFonts w:hint="eastAsia" w:asciiTheme="minorEastAsia" w:hAnsiTheme="minorEastAsia"/>
                <w:kern w:val="0"/>
                <w:sz w:val="20"/>
                <w:szCs w:val="20"/>
              </w:rPr>
              <w:t>投标人具有质量管理体系认证证书（ISO9001），得1分。</w:t>
            </w:r>
          </w:p>
          <w:p>
            <w:pPr>
              <w:spacing w:line="360" w:lineRule="auto"/>
              <w:rPr>
                <w:rFonts w:asciiTheme="minorEastAsia" w:hAnsiTheme="minorEastAsia"/>
                <w:kern w:val="0"/>
                <w:sz w:val="20"/>
                <w:szCs w:val="20"/>
              </w:rPr>
            </w:pPr>
            <w:r>
              <w:rPr>
                <w:rFonts w:hint="eastAsia" w:asciiTheme="minorEastAsia" w:hAnsiTheme="minorEastAsia"/>
                <w:kern w:val="0"/>
                <w:sz w:val="20"/>
                <w:szCs w:val="20"/>
              </w:rPr>
              <w:t>2</w:t>
            </w:r>
            <w:r>
              <w:rPr>
                <w:rFonts w:asciiTheme="minorEastAsia" w:hAnsiTheme="minorEastAsia"/>
                <w:kern w:val="0"/>
                <w:sz w:val="20"/>
                <w:szCs w:val="20"/>
              </w:rPr>
              <w:t>.</w:t>
            </w:r>
            <w:r>
              <w:rPr>
                <w:rFonts w:hint="eastAsia" w:asciiTheme="minorEastAsia" w:hAnsiTheme="minorEastAsia"/>
                <w:kern w:val="0"/>
                <w:sz w:val="20"/>
                <w:szCs w:val="20"/>
              </w:rPr>
              <w:t>投标人通过ISO 27001信息安全管理体系认证证书，得1分。</w:t>
            </w:r>
          </w:p>
          <w:p>
            <w:pPr>
              <w:spacing w:line="360" w:lineRule="auto"/>
              <w:rPr>
                <w:rFonts w:asciiTheme="minorEastAsia" w:hAnsiTheme="minorEastAsia"/>
                <w:kern w:val="0"/>
                <w:sz w:val="20"/>
                <w:szCs w:val="20"/>
              </w:rPr>
            </w:pPr>
            <w:r>
              <w:rPr>
                <w:rFonts w:hint="eastAsia" w:asciiTheme="minorEastAsia" w:hAnsiTheme="minorEastAsia"/>
                <w:kern w:val="0"/>
                <w:sz w:val="20"/>
                <w:szCs w:val="20"/>
              </w:rPr>
              <w:t>3</w:t>
            </w:r>
            <w:r>
              <w:rPr>
                <w:rFonts w:asciiTheme="minorEastAsia" w:hAnsiTheme="minorEastAsia"/>
                <w:kern w:val="0"/>
                <w:sz w:val="20"/>
                <w:szCs w:val="20"/>
              </w:rPr>
              <w:t>.</w:t>
            </w:r>
            <w:r>
              <w:rPr>
                <w:rFonts w:hint="eastAsia" w:asciiTheme="minorEastAsia" w:hAnsiTheme="minorEastAsia"/>
                <w:kern w:val="0"/>
                <w:sz w:val="20"/>
                <w:szCs w:val="20"/>
              </w:rPr>
              <w:t>投标人通过ISO 20000信息技术服务管理体系标准认证证书，得1分。</w:t>
            </w:r>
          </w:p>
          <w:p>
            <w:pPr>
              <w:spacing w:line="360" w:lineRule="auto"/>
              <w:rPr>
                <w:rFonts w:asciiTheme="minorEastAsia" w:hAnsiTheme="minorEastAsia"/>
                <w:kern w:val="0"/>
                <w:sz w:val="20"/>
                <w:szCs w:val="20"/>
              </w:rPr>
            </w:pPr>
            <w:r>
              <w:rPr>
                <w:rFonts w:hint="eastAsia" w:asciiTheme="minorEastAsia" w:hAnsiTheme="minorEastAsia"/>
                <w:kern w:val="0"/>
                <w:sz w:val="20"/>
                <w:szCs w:val="20"/>
              </w:rPr>
              <w:t>4</w:t>
            </w:r>
            <w:r>
              <w:rPr>
                <w:rFonts w:asciiTheme="minorEastAsia" w:hAnsiTheme="minorEastAsia"/>
                <w:kern w:val="0"/>
                <w:sz w:val="20"/>
                <w:szCs w:val="20"/>
              </w:rPr>
              <w:t>.</w:t>
            </w:r>
            <w:r>
              <w:rPr>
                <w:rFonts w:hint="eastAsia" w:asciiTheme="minorEastAsia" w:hAnsiTheme="minorEastAsia"/>
                <w:kern w:val="0"/>
                <w:sz w:val="20"/>
                <w:szCs w:val="20"/>
              </w:rPr>
              <w:t>投标人具备信息系统安全运维处理服务资质体系认证，得2分。</w:t>
            </w:r>
          </w:p>
          <w:p>
            <w:pPr>
              <w:spacing w:line="360" w:lineRule="auto"/>
              <w:rPr>
                <w:rFonts w:asciiTheme="minorEastAsia" w:hAnsiTheme="minorEastAsia"/>
                <w:kern w:val="0"/>
                <w:sz w:val="20"/>
                <w:szCs w:val="20"/>
              </w:rPr>
            </w:pPr>
            <w:r>
              <w:rPr>
                <w:rFonts w:hint="eastAsia" w:asciiTheme="minorEastAsia" w:hAnsiTheme="minorEastAsia"/>
                <w:kern w:val="0"/>
                <w:sz w:val="20"/>
                <w:szCs w:val="20"/>
              </w:rPr>
              <w:t>5</w:t>
            </w:r>
            <w:r>
              <w:rPr>
                <w:rFonts w:asciiTheme="minorEastAsia" w:hAnsiTheme="minorEastAsia"/>
                <w:kern w:val="0"/>
                <w:sz w:val="20"/>
                <w:szCs w:val="20"/>
              </w:rPr>
              <w:t>.</w:t>
            </w:r>
            <w:r>
              <w:rPr>
                <w:rFonts w:hint="eastAsia" w:asciiTheme="minorEastAsia" w:hAnsiTheme="minorEastAsia"/>
                <w:kern w:val="0"/>
                <w:sz w:val="20"/>
                <w:szCs w:val="20"/>
              </w:rPr>
              <w:t>投标人具备CMMI三级资质认证，得2分。</w:t>
            </w:r>
          </w:p>
          <w:p>
            <w:pPr>
              <w:spacing w:line="360" w:lineRule="auto"/>
              <w:rPr>
                <w:rFonts w:asciiTheme="minorEastAsia" w:hAnsiTheme="minorEastAsia"/>
                <w:kern w:val="0"/>
                <w:sz w:val="20"/>
                <w:szCs w:val="20"/>
              </w:rPr>
            </w:pPr>
            <w:r>
              <w:rPr>
                <w:rFonts w:hint="eastAsia" w:asciiTheme="minorEastAsia" w:hAnsiTheme="minorEastAsia"/>
                <w:kern w:val="0"/>
                <w:sz w:val="20"/>
                <w:szCs w:val="20"/>
              </w:rPr>
              <w:t>6</w:t>
            </w:r>
            <w:r>
              <w:rPr>
                <w:rFonts w:asciiTheme="minorEastAsia" w:hAnsiTheme="minorEastAsia"/>
                <w:kern w:val="0"/>
                <w:sz w:val="20"/>
                <w:szCs w:val="20"/>
              </w:rPr>
              <w:t>.</w:t>
            </w:r>
            <w:r>
              <w:rPr>
                <w:rFonts w:hint="eastAsia" w:asciiTheme="minorEastAsia" w:hAnsiTheme="minorEastAsia"/>
                <w:kern w:val="0"/>
                <w:sz w:val="20"/>
                <w:szCs w:val="20"/>
              </w:rPr>
              <w:t>投标人通过ITSS运维服务标准成熟度三级认证，得2分。</w:t>
            </w:r>
          </w:p>
          <w:p>
            <w:pPr>
              <w:spacing w:line="360" w:lineRule="auto"/>
              <w:rPr>
                <w:rFonts w:asciiTheme="minorEastAsia" w:hAnsiTheme="minorEastAsia"/>
                <w:kern w:val="0"/>
                <w:sz w:val="20"/>
                <w:szCs w:val="20"/>
              </w:rPr>
            </w:pPr>
            <w:r>
              <w:rPr>
                <w:rFonts w:hint="eastAsia" w:asciiTheme="minorEastAsia" w:hAnsiTheme="minorEastAsia"/>
                <w:kern w:val="0"/>
                <w:sz w:val="20"/>
                <w:szCs w:val="20"/>
              </w:rPr>
              <w:t>7</w:t>
            </w:r>
            <w:r>
              <w:rPr>
                <w:rFonts w:asciiTheme="minorEastAsia" w:hAnsiTheme="minorEastAsia"/>
                <w:kern w:val="0"/>
                <w:sz w:val="20"/>
                <w:szCs w:val="20"/>
              </w:rPr>
              <w:t>.</w:t>
            </w:r>
            <w:r>
              <w:rPr>
                <w:rFonts w:hint="eastAsia" w:asciiTheme="minorEastAsia" w:hAnsiTheme="minorEastAsia"/>
                <w:kern w:val="0"/>
                <w:sz w:val="20"/>
                <w:szCs w:val="20"/>
              </w:rPr>
              <w:t>投标人通过涉密集成资质乙级认证，得2分。以上证书开标时提供原件，否则不得分。</w:t>
            </w:r>
          </w:p>
        </w:tc>
        <w:tc>
          <w:tcPr>
            <w:tcW w:w="1417" w:type="dxa"/>
            <w:vAlign w:val="center"/>
          </w:tcPr>
          <w:p>
            <w:pPr>
              <w:widowControl/>
              <w:spacing w:before="60" w:after="60"/>
              <w:jc w:val="center"/>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1</w:t>
            </w:r>
            <w:r>
              <w:rPr>
                <w:rFonts w:cs="宋体" w:asciiTheme="minorEastAsia" w:hAnsiTheme="minorEastAsia"/>
                <w:color w:val="000000" w:themeColor="text1"/>
                <w:kern w:val="0"/>
                <w:sz w:val="20"/>
                <w:szCs w:val="20"/>
                <w14:textFill>
                  <w14:solidFill>
                    <w14:schemeClr w14:val="tx1"/>
                  </w14:solidFill>
                </w14:textFill>
              </w:rPr>
              <w:t>1</w:t>
            </w:r>
            <w:r>
              <w:rPr>
                <w:rFonts w:hint="eastAsia" w:cs="宋体" w:asciiTheme="minorEastAsia" w:hAnsiTheme="minorEastAsia"/>
                <w:color w:val="000000" w:themeColor="text1"/>
                <w:kern w:val="0"/>
                <w:sz w:val="20"/>
                <w:szCs w:val="20"/>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vAlign w:val="center"/>
          </w:tcPr>
          <w:p>
            <w:pPr>
              <w:spacing w:before="60" w:after="60"/>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技术性能</w:t>
            </w:r>
          </w:p>
        </w:tc>
        <w:tc>
          <w:tcPr>
            <w:tcW w:w="5414" w:type="dxa"/>
            <w:vAlign w:val="center"/>
          </w:tcPr>
          <w:p>
            <w:pPr>
              <w:spacing w:before="60" w:after="60"/>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1、根据所投产品的整体技术性能是否符合采购需求，得0-2 分；</w:t>
            </w:r>
          </w:p>
          <w:p>
            <w:pPr>
              <w:spacing w:before="60" w:after="60"/>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2、所投产品配置是否全面，得0-2分；</w:t>
            </w:r>
          </w:p>
          <w:p>
            <w:pPr>
              <w:spacing w:before="60" w:after="60"/>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3、根据所投产品后期使用成本高低，得0-2 分；</w:t>
            </w:r>
          </w:p>
          <w:p>
            <w:pPr>
              <w:spacing w:before="60" w:after="60"/>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4、根据所投产品使用是否稳定、是否易于维护，得0-2 分；</w:t>
            </w:r>
          </w:p>
          <w:p>
            <w:pPr>
              <w:spacing w:before="60" w:after="60"/>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5、根据所投产品是否配套和兼容，得0-2 分。</w:t>
            </w:r>
          </w:p>
        </w:tc>
        <w:tc>
          <w:tcPr>
            <w:tcW w:w="1417" w:type="dxa"/>
            <w:vAlign w:val="center"/>
          </w:tcPr>
          <w:p>
            <w:pPr>
              <w:spacing w:before="60" w:after="60"/>
              <w:jc w:val="center"/>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1</w:t>
            </w:r>
            <w:r>
              <w:rPr>
                <w:rFonts w:cs="宋体" w:asciiTheme="minorEastAsia" w:hAnsiTheme="minorEastAsia"/>
                <w:color w:val="000000" w:themeColor="text1"/>
                <w:kern w:val="0"/>
                <w:sz w:val="20"/>
                <w:szCs w:val="20"/>
                <w14:textFill>
                  <w14:solidFill>
                    <w14:schemeClr w14:val="tx1"/>
                  </w14:solidFill>
                </w14:textFill>
              </w:rPr>
              <w:t>0</w:t>
            </w:r>
            <w:r>
              <w:rPr>
                <w:rFonts w:hint="eastAsia" w:cs="宋体" w:asciiTheme="minorEastAsia" w:hAnsiTheme="minorEastAsia"/>
                <w:color w:val="000000" w:themeColor="text1"/>
                <w:kern w:val="0"/>
                <w:sz w:val="20"/>
                <w:szCs w:val="20"/>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vAlign w:val="center"/>
          </w:tcPr>
          <w:p>
            <w:pPr>
              <w:spacing w:before="60" w:after="60"/>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技术措施</w:t>
            </w:r>
          </w:p>
        </w:tc>
        <w:tc>
          <w:tcPr>
            <w:tcW w:w="5414" w:type="dxa"/>
            <w:vAlign w:val="center"/>
          </w:tcPr>
          <w:p>
            <w:pPr>
              <w:spacing w:before="60" w:after="60"/>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1、项目团队配置合理，项目参与人员具备良好的服务和实施能力，得1-4分；</w:t>
            </w:r>
          </w:p>
          <w:p>
            <w:pPr>
              <w:spacing w:before="60" w:after="60"/>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2、有完善的人员培训计划和应用技术支持，得1-3分。</w:t>
            </w:r>
          </w:p>
          <w:p>
            <w:pPr>
              <w:spacing w:before="60" w:after="60"/>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3、项目实施需要有良好的技术人员保障，项目小组主要成员具有VCP 工程师证书，每提供一人得1 分，最多得3分；开标时提供工程师证书原件，否则不得分。</w:t>
            </w:r>
          </w:p>
        </w:tc>
        <w:tc>
          <w:tcPr>
            <w:tcW w:w="1417" w:type="dxa"/>
            <w:vAlign w:val="center"/>
          </w:tcPr>
          <w:p>
            <w:pPr>
              <w:spacing w:before="60" w:after="60"/>
              <w:jc w:val="center"/>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1</w:t>
            </w:r>
            <w:r>
              <w:rPr>
                <w:rFonts w:cs="宋体" w:asciiTheme="minorEastAsia" w:hAnsiTheme="minorEastAsia"/>
                <w:color w:val="000000" w:themeColor="text1"/>
                <w:kern w:val="0"/>
                <w:sz w:val="20"/>
                <w:szCs w:val="20"/>
                <w14:textFill>
                  <w14:solidFill>
                    <w14:schemeClr w14:val="tx1"/>
                  </w14:solidFill>
                </w14:textFill>
              </w:rPr>
              <w:t>0</w:t>
            </w:r>
            <w:r>
              <w:rPr>
                <w:rFonts w:hint="eastAsia" w:cs="宋体" w:asciiTheme="minorEastAsia" w:hAnsiTheme="minorEastAsia"/>
                <w:color w:val="000000" w:themeColor="text1"/>
                <w:kern w:val="0"/>
                <w:sz w:val="20"/>
                <w:szCs w:val="20"/>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3" w:hRule="atLeast"/>
        </w:trPr>
        <w:tc>
          <w:tcPr>
            <w:tcW w:w="1674" w:type="dxa"/>
            <w:vAlign w:val="center"/>
          </w:tcPr>
          <w:p>
            <w:pPr>
              <w:pStyle w:val="14"/>
              <w:spacing w:line="364" w:lineRule="auto"/>
              <w:ind w:left="107" w:right="99"/>
              <w:rPr>
                <w:rFonts w:hint="default" w:cs="宋体" w:asciiTheme="minorEastAsia" w:hAnsiTheme="minorEastAsia" w:eastAsiaTheme="minorEastAsia"/>
                <w:color w:val="000000" w:themeColor="text1"/>
                <w:kern w:val="0"/>
                <w:sz w:val="20"/>
                <w:lang w:val="en-US"/>
                <w14:textFill>
                  <w14:solidFill>
                    <w14:schemeClr w14:val="tx1"/>
                  </w14:solidFill>
                </w14:textFill>
              </w:rPr>
            </w:pPr>
            <w:r>
              <w:rPr>
                <w:rFonts w:cs="宋体" w:asciiTheme="minorEastAsia" w:hAnsiTheme="minorEastAsia" w:eastAsiaTheme="minorEastAsia"/>
                <w:color w:val="000000" w:themeColor="text1"/>
                <w:kern w:val="0"/>
                <w:sz w:val="20"/>
                <w:lang w:val="en-US"/>
                <w14:textFill>
                  <w14:solidFill>
                    <w14:schemeClr w14:val="tx1"/>
                  </w14:solidFill>
                </w14:textFill>
              </w:rPr>
              <w:t>业务数据迁移</w:t>
            </w:r>
          </w:p>
          <w:p>
            <w:pPr>
              <w:spacing w:before="60" w:after="60"/>
              <w:rPr>
                <w:rFonts w:cs="宋体" w:asciiTheme="minorEastAsia" w:hAnsiTheme="minorEastAsia"/>
                <w:color w:val="000000" w:themeColor="text1"/>
                <w:kern w:val="0"/>
                <w:sz w:val="20"/>
                <w:szCs w:val="20"/>
                <w14:textFill>
                  <w14:solidFill>
                    <w14:schemeClr w14:val="tx1"/>
                  </w14:solidFill>
                </w14:textFill>
              </w:rPr>
            </w:pPr>
          </w:p>
        </w:tc>
        <w:tc>
          <w:tcPr>
            <w:tcW w:w="5414" w:type="dxa"/>
            <w:vAlign w:val="center"/>
          </w:tcPr>
          <w:p>
            <w:pPr>
              <w:pStyle w:val="14"/>
              <w:spacing w:line="364" w:lineRule="auto"/>
              <w:ind w:left="107" w:right="99"/>
              <w:rPr>
                <w:rFonts w:hint="default" w:cs="宋体" w:asciiTheme="minorEastAsia" w:hAnsiTheme="minorEastAsia" w:eastAsiaTheme="minorEastAsia"/>
                <w:color w:val="000000" w:themeColor="text1"/>
                <w:kern w:val="0"/>
                <w:sz w:val="20"/>
                <w:lang w:val="en-US"/>
                <w14:textFill>
                  <w14:solidFill>
                    <w14:schemeClr w14:val="tx1"/>
                  </w14:solidFill>
                </w14:textFill>
              </w:rPr>
            </w:pPr>
            <w:r>
              <w:rPr>
                <w:rFonts w:cs="宋体" w:asciiTheme="minorEastAsia" w:hAnsiTheme="minorEastAsia" w:eastAsiaTheme="minorEastAsia"/>
                <w:color w:val="000000" w:themeColor="text1"/>
                <w:kern w:val="0"/>
                <w:sz w:val="20"/>
                <w:lang w:val="en-US"/>
                <w14:textFill>
                  <w14:solidFill>
                    <w14:schemeClr w14:val="tx1"/>
                  </w14:solidFill>
                </w14:textFill>
              </w:rPr>
              <w:t>供应商对用户需求和应用环境熟悉，有完善的业务数据迁移方案，保证业务数据迁移过程中数据的连续性。</w:t>
            </w:r>
          </w:p>
          <w:p>
            <w:pPr>
              <w:pStyle w:val="14"/>
              <w:spacing w:line="364" w:lineRule="auto"/>
              <w:ind w:left="107" w:right="99"/>
              <w:rPr>
                <w:rFonts w:hint="default" w:cs="宋体" w:asciiTheme="minorEastAsia" w:hAnsiTheme="minorEastAsia" w:eastAsiaTheme="minorEastAsia"/>
                <w:color w:val="000000" w:themeColor="text1"/>
                <w:kern w:val="0"/>
                <w:sz w:val="20"/>
                <w:lang w:val="en-US"/>
                <w14:textFill>
                  <w14:solidFill>
                    <w14:schemeClr w14:val="tx1"/>
                  </w14:solidFill>
                </w14:textFill>
              </w:rPr>
            </w:pPr>
            <w:r>
              <w:rPr>
                <w:rFonts w:cs="宋体" w:asciiTheme="minorEastAsia" w:hAnsiTheme="minorEastAsia" w:eastAsiaTheme="minorEastAsia"/>
                <w:color w:val="000000" w:themeColor="text1"/>
                <w:kern w:val="0"/>
                <w:sz w:val="20"/>
                <w:lang w:val="en-US"/>
                <w14:textFill>
                  <w14:solidFill>
                    <w14:schemeClr w14:val="tx1"/>
                  </w14:solidFill>
                </w14:textFill>
              </w:rPr>
              <w:t>1、迁移方案有十分完善的实施针对性的，7-8分。</w:t>
            </w:r>
          </w:p>
          <w:p>
            <w:pPr>
              <w:pStyle w:val="14"/>
              <w:spacing w:line="364" w:lineRule="auto"/>
              <w:ind w:left="107" w:right="99"/>
              <w:rPr>
                <w:rFonts w:hint="default" w:cs="宋体" w:asciiTheme="minorEastAsia" w:hAnsiTheme="minorEastAsia" w:eastAsiaTheme="minorEastAsia"/>
                <w:color w:val="000000" w:themeColor="text1"/>
                <w:kern w:val="0"/>
                <w:sz w:val="20"/>
                <w:lang w:val="en-US"/>
                <w14:textFill>
                  <w14:solidFill>
                    <w14:schemeClr w14:val="tx1"/>
                  </w14:solidFill>
                </w14:textFill>
              </w:rPr>
            </w:pPr>
            <w:r>
              <w:rPr>
                <w:rFonts w:cs="宋体" w:asciiTheme="minorEastAsia" w:hAnsiTheme="minorEastAsia" w:eastAsiaTheme="minorEastAsia"/>
                <w:color w:val="000000" w:themeColor="text1"/>
                <w:kern w:val="0"/>
                <w:sz w:val="20"/>
                <w:lang w:val="en-US"/>
                <w14:textFill>
                  <w14:solidFill>
                    <w14:schemeClr w14:val="tx1"/>
                  </w14:solidFill>
                </w14:textFill>
              </w:rPr>
              <w:t>2、迁移方案有可操作性、能够保证实施完成和具体措施及项目进度计划，及必要的回退措施步骤等。得5-6分。</w:t>
            </w:r>
          </w:p>
          <w:p>
            <w:pPr>
              <w:pStyle w:val="14"/>
              <w:spacing w:line="364" w:lineRule="auto"/>
              <w:ind w:left="107" w:right="99"/>
              <w:rPr>
                <w:rFonts w:hint="default" w:cs="宋体" w:asciiTheme="minorEastAsia" w:hAnsiTheme="minorEastAsia" w:eastAsiaTheme="minorEastAsia"/>
                <w:color w:val="000000" w:themeColor="text1"/>
                <w:kern w:val="0"/>
                <w:sz w:val="20"/>
                <w:lang w:val="en-US"/>
                <w14:textFill>
                  <w14:solidFill>
                    <w14:schemeClr w14:val="tx1"/>
                  </w14:solidFill>
                </w14:textFill>
              </w:rPr>
            </w:pPr>
            <w:r>
              <w:rPr>
                <w:rFonts w:cs="宋体" w:asciiTheme="minorEastAsia" w:hAnsiTheme="minorEastAsia" w:eastAsiaTheme="minorEastAsia"/>
                <w:color w:val="000000" w:themeColor="text1"/>
                <w:kern w:val="0"/>
                <w:sz w:val="20"/>
                <w:lang w:val="en-US"/>
                <w14:textFill>
                  <w14:solidFill>
                    <w14:schemeClr w14:val="tx1"/>
                  </w14:solidFill>
                </w14:textFill>
              </w:rPr>
              <w:t>3、迁移方案中具备成熟的技术团队支撑，技术团队人员具备同类项目实施经验，得3-4分。</w:t>
            </w:r>
          </w:p>
          <w:p>
            <w:pPr>
              <w:pStyle w:val="14"/>
              <w:spacing w:line="364" w:lineRule="auto"/>
              <w:ind w:left="107" w:right="99"/>
              <w:rPr>
                <w:rFonts w:hint="default" w:cs="宋体" w:asciiTheme="minorEastAsia" w:hAnsiTheme="minorEastAsia" w:eastAsiaTheme="minorEastAsia"/>
                <w:color w:val="000000" w:themeColor="text1"/>
                <w:kern w:val="0"/>
                <w:sz w:val="20"/>
                <w:lang w:val="en-US"/>
                <w14:textFill>
                  <w14:solidFill>
                    <w14:schemeClr w14:val="tx1"/>
                  </w14:solidFill>
                </w14:textFill>
              </w:rPr>
            </w:pPr>
            <w:r>
              <w:rPr>
                <w:rFonts w:cs="宋体" w:asciiTheme="minorEastAsia" w:hAnsiTheme="minorEastAsia" w:eastAsiaTheme="minorEastAsia"/>
                <w:color w:val="000000" w:themeColor="text1"/>
                <w:kern w:val="0"/>
                <w:sz w:val="20"/>
                <w:lang w:val="en-US"/>
                <w14:textFill>
                  <w14:solidFill>
                    <w14:schemeClr w14:val="tx1"/>
                  </w14:solidFill>
                </w14:textFill>
              </w:rPr>
              <w:t>4、迁移方案过程中需要保证数据的持续性，提供迁移过程中有效的持续性实施方案和迁移过程中所需要工具。得1-2分。</w:t>
            </w:r>
          </w:p>
        </w:tc>
        <w:tc>
          <w:tcPr>
            <w:tcW w:w="1417" w:type="dxa"/>
            <w:vAlign w:val="center"/>
          </w:tcPr>
          <w:p>
            <w:pPr>
              <w:spacing w:before="60" w:after="60"/>
              <w:jc w:val="center"/>
              <w:rPr>
                <w:rFonts w:cs="宋体" w:asciiTheme="minorEastAsia" w:hAnsiTheme="minorEastAsia"/>
                <w:color w:val="000000" w:themeColor="text1"/>
                <w:kern w:val="0"/>
                <w:sz w:val="20"/>
                <w:szCs w:val="20"/>
                <w14:textFill>
                  <w14:solidFill>
                    <w14:schemeClr w14:val="tx1"/>
                  </w14:solidFill>
                </w14:textFill>
              </w:rPr>
            </w:pPr>
            <w:r>
              <w:rPr>
                <w:rFonts w:cs="宋体" w:asciiTheme="minorEastAsia" w:hAnsiTheme="minorEastAsia"/>
                <w:color w:val="000000" w:themeColor="text1"/>
                <w:kern w:val="0"/>
                <w:sz w:val="20"/>
                <w:szCs w:val="20"/>
                <w14:textFill>
                  <w14:solidFill>
                    <w14:schemeClr w14:val="tx1"/>
                  </w14:solidFill>
                </w14:textFill>
              </w:rPr>
              <w:t>8</w:t>
            </w:r>
            <w:r>
              <w:rPr>
                <w:rFonts w:hint="eastAsia" w:cs="宋体" w:asciiTheme="minorEastAsia" w:hAnsiTheme="minorEastAsia"/>
                <w:color w:val="000000" w:themeColor="text1"/>
                <w:kern w:val="0"/>
                <w:sz w:val="20"/>
                <w:szCs w:val="20"/>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vAlign w:val="center"/>
          </w:tcPr>
          <w:p>
            <w:pPr>
              <w:spacing w:before="60" w:after="60"/>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产品技术先进性及特色</w:t>
            </w:r>
          </w:p>
        </w:tc>
        <w:tc>
          <w:tcPr>
            <w:tcW w:w="5414" w:type="dxa"/>
            <w:vAlign w:val="center"/>
          </w:tcPr>
          <w:p>
            <w:pPr>
              <w:spacing w:before="60" w:after="60"/>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1、产品具有特色技术，得0-3分；</w:t>
            </w:r>
          </w:p>
          <w:p>
            <w:pPr>
              <w:spacing w:before="60" w:after="60"/>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2、产品具有创新技术，得0-3 分；</w:t>
            </w:r>
          </w:p>
          <w:p>
            <w:pPr>
              <w:spacing w:before="60" w:after="60"/>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3、产品具有技术的可升级性，得0-3 分。</w:t>
            </w:r>
          </w:p>
        </w:tc>
        <w:tc>
          <w:tcPr>
            <w:tcW w:w="1417" w:type="dxa"/>
            <w:vAlign w:val="center"/>
          </w:tcPr>
          <w:p>
            <w:pPr>
              <w:spacing w:before="60" w:after="60"/>
              <w:jc w:val="center"/>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vAlign w:val="center"/>
          </w:tcPr>
          <w:p>
            <w:pPr>
              <w:spacing w:before="60" w:after="60"/>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售后服务</w:t>
            </w:r>
          </w:p>
        </w:tc>
        <w:tc>
          <w:tcPr>
            <w:tcW w:w="5414" w:type="dxa"/>
            <w:vAlign w:val="center"/>
          </w:tcPr>
          <w:p>
            <w:pPr>
              <w:spacing w:before="60" w:after="60"/>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1、根据供应商的售后服务方案、服务保障能力等，得0-</w:t>
            </w:r>
            <w:r>
              <w:rPr>
                <w:rFonts w:cs="宋体" w:asciiTheme="minorEastAsia" w:hAnsiTheme="minorEastAsia"/>
                <w:color w:val="000000" w:themeColor="text1"/>
                <w:kern w:val="0"/>
                <w:sz w:val="20"/>
                <w:szCs w:val="20"/>
                <w14:textFill>
                  <w14:solidFill>
                    <w14:schemeClr w14:val="tx1"/>
                  </w14:solidFill>
                </w14:textFill>
              </w:rPr>
              <w:t>3</w:t>
            </w:r>
            <w:r>
              <w:rPr>
                <w:rFonts w:hint="eastAsia" w:cs="宋体" w:asciiTheme="minorEastAsia" w:hAnsiTheme="minorEastAsia"/>
                <w:color w:val="000000" w:themeColor="text1"/>
                <w:kern w:val="0"/>
                <w:sz w:val="20"/>
                <w:szCs w:val="20"/>
                <w14:textFill>
                  <w14:solidFill>
                    <w14:schemeClr w14:val="tx1"/>
                  </w14:solidFill>
                </w14:textFill>
              </w:rPr>
              <w:t xml:space="preserve"> 分；</w:t>
            </w:r>
          </w:p>
          <w:p>
            <w:pPr>
              <w:spacing w:before="60" w:after="60"/>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2、根据供应商的人员的配备、响应时间、技术支持、培训方案等，得0-</w:t>
            </w:r>
            <w:r>
              <w:rPr>
                <w:rFonts w:cs="宋体" w:asciiTheme="minorEastAsia" w:hAnsiTheme="minorEastAsia"/>
                <w:color w:val="000000" w:themeColor="text1"/>
                <w:kern w:val="0"/>
                <w:sz w:val="20"/>
                <w:szCs w:val="20"/>
                <w14:textFill>
                  <w14:solidFill>
                    <w14:schemeClr w14:val="tx1"/>
                  </w14:solidFill>
                </w14:textFill>
              </w:rPr>
              <w:t>3</w:t>
            </w:r>
            <w:r>
              <w:rPr>
                <w:rFonts w:hint="eastAsia" w:cs="宋体" w:asciiTheme="minorEastAsia" w:hAnsiTheme="minorEastAsia"/>
                <w:color w:val="000000" w:themeColor="text1"/>
                <w:kern w:val="0"/>
                <w:sz w:val="20"/>
                <w:szCs w:val="20"/>
                <w14:textFill>
                  <w14:solidFill>
                    <w14:schemeClr w14:val="tx1"/>
                  </w14:solidFill>
                </w14:textFill>
              </w:rPr>
              <w:t xml:space="preserve"> 分；</w:t>
            </w:r>
          </w:p>
        </w:tc>
        <w:tc>
          <w:tcPr>
            <w:tcW w:w="1417" w:type="dxa"/>
            <w:vAlign w:val="center"/>
          </w:tcPr>
          <w:p>
            <w:pPr>
              <w:spacing w:before="60" w:after="60"/>
              <w:jc w:val="center"/>
              <w:rPr>
                <w:rFonts w:cs="宋体" w:asciiTheme="minorEastAsia" w:hAnsiTheme="minorEastAsia"/>
                <w:color w:val="000000" w:themeColor="text1"/>
                <w:kern w:val="0"/>
                <w:sz w:val="20"/>
                <w:szCs w:val="20"/>
                <w14:textFill>
                  <w14:solidFill>
                    <w14:schemeClr w14:val="tx1"/>
                  </w14:solidFill>
                </w14:textFill>
              </w:rPr>
            </w:pPr>
            <w:r>
              <w:rPr>
                <w:rFonts w:cs="宋体" w:asciiTheme="minorEastAsia" w:hAnsiTheme="minorEastAsia"/>
                <w:color w:val="000000" w:themeColor="text1"/>
                <w:kern w:val="0"/>
                <w:sz w:val="20"/>
                <w:szCs w:val="20"/>
                <w14:textFill>
                  <w14:solidFill>
                    <w14:schemeClr w14:val="tx1"/>
                  </w14:solidFill>
                </w14:textFill>
              </w:rPr>
              <w:t>6</w:t>
            </w:r>
            <w:r>
              <w:rPr>
                <w:rFonts w:hint="eastAsia" w:cs="宋体" w:asciiTheme="minorEastAsia" w:hAnsiTheme="minorEastAsia"/>
                <w:color w:val="000000" w:themeColor="text1"/>
                <w:kern w:val="0"/>
                <w:sz w:val="20"/>
                <w:szCs w:val="20"/>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vAlign w:val="center"/>
          </w:tcPr>
          <w:p>
            <w:pPr>
              <w:spacing w:before="60" w:after="60"/>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合计</w:t>
            </w:r>
          </w:p>
        </w:tc>
        <w:tc>
          <w:tcPr>
            <w:tcW w:w="5414" w:type="dxa"/>
            <w:vAlign w:val="center"/>
          </w:tcPr>
          <w:p>
            <w:pPr>
              <w:spacing w:before="60" w:after="60"/>
              <w:jc w:val="center"/>
              <w:rPr>
                <w:rFonts w:cs="宋体" w:asciiTheme="minorEastAsia" w:hAnsiTheme="minorEastAsia"/>
                <w:color w:val="000000" w:themeColor="text1"/>
                <w:kern w:val="0"/>
                <w:sz w:val="20"/>
                <w:szCs w:val="20"/>
                <w14:textFill>
                  <w14:solidFill>
                    <w14:schemeClr w14:val="tx1"/>
                  </w14:solidFill>
                </w14:textFill>
              </w:rPr>
            </w:pPr>
          </w:p>
        </w:tc>
        <w:tc>
          <w:tcPr>
            <w:tcW w:w="1417" w:type="dxa"/>
          </w:tcPr>
          <w:p>
            <w:pPr>
              <w:spacing w:before="60" w:after="60"/>
              <w:jc w:val="center"/>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100分</w:t>
            </w:r>
          </w:p>
        </w:tc>
      </w:tr>
    </w:tbl>
    <w:p>
      <w:pPr>
        <w:pStyle w:val="5"/>
        <w:shd w:val="clear" w:color="auto" w:fill="FFFFFF"/>
        <w:spacing w:before="0" w:beforeAutospacing="0" w:after="150" w:afterAutospacing="0" w:line="360" w:lineRule="auto"/>
        <w:ind w:firstLine="480"/>
        <w:rPr>
          <w:rFonts w:cs="Helvetica" w:asciiTheme="minorEastAsia" w:hAnsiTheme="minorEastAsia" w:eastAsiaTheme="minorEastAsia"/>
          <w:color w:val="333333"/>
          <w:sz w:val="28"/>
          <w:szCs w:val="28"/>
        </w:rPr>
      </w:pPr>
    </w:p>
    <w:p>
      <w:pPr>
        <w:pStyle w:val="5"/>
        <w:shd w:val="clear" w:color="auto" w:fill="FFFFFF"/>
        <w:spacing w:before="0" w:beforeAutospacing="0" w:after="150" w:afterAutospacing="0" w:line="360" w:lineRule="auto"/>
        <w:ind w:firstLine="480"/>
        <w:rPr>
          <w:rFonts w:cs="Helvetica" w:asciiTheme="minorEastAsia" w:hAnsiTheme="minorEastAsia" w:eastAsiaTheme="minorEastAsia"/>
          <w:color w:val="333333"/>
          <w:sz w:val="28"/>
          <w:szCs w:val="28"/>
        </w:rPr>
      </w:pPr>
    </w:p>
    <w:p>
      <w:pPr>
        <w:pStyle w:val="5"/>
        <w:shd w:val="clear" w:color="auto" w:fill="FFFFFF"/>
        <w:spacing w:before="0" w:beforeAutospacing="0" w:after="150" w:afterAutospacing="0" w:line="360" w:lineRule="auto"/>
        <w:ind w:firstLine="480"/>
        <w:rPr>
          <w:rFonts w:cs="Helvetica" w:asciiTheme="minorEastAsia" w:hAnsiTheme="minorEastAsia" w:eastAsiaTheme="minorEastAsia"/>
          <w:color w:val="333333"/>
          <w:sz w:val="28"/>
          <w:szCs w:val="28"/>
        </w:rPr>
      </w:pPr>
    </w:p>
    <w:p>
      <w:pPr>
        <w:pStyle w:val="5"/>
        <w:shd w:val="clear" w:color="auto" w:fill="FFFFFF"/>
        <w:spacing w:before="0" w:beforeAutospacing="0" w:after="150" w:afterAutospacing="0" w:line="360" w:lineRule="auto"/>
        <w:ind w:firstLine="480"/>
        <w:rPr>
          <w:rFonts w:cs="Helvetica" w:asciiTheme="minorEastAsia" w:hAnsiTheme="minorEastAsia" w:eastAsiaTheme="minorEastAsia"/>
          <w:color w:val="333333"/>
          <w:sz w:val="28"/>
          <w:szCs w:val="28"/>
        </w:rPr>
      </w:pPr>
    </w:p>
    <w:p>
      <w:pPr>
        <w:pStyle w:val="5"/>
        <w:shd w:val="clear" w:color="auto" w:fill="FFFFFF"/>
        <w:spacing w:before="0" w:beforeAutospacing="0" w:after="150" w:afterAutospacing="0" w:line="360" w:lineRule="auto"/>
        <w:ind w:firstLine="480"/>
        <w:rPr>
          <w:rFonts w:cs="Helvetica" w:asciiTheme="minorEastAsia" w:hAnsiTheme="minorEastAsia" w:eastAsiaTheme="minorEastAsia"/>
          <w:color w:val="333333"/>
          <w:sz w:val="28"/>
          <w:szCs w:val="28"/>
        </w:rPr>
      </w:pPr>
    </w:p>
    <w:p>
      <w:pPr>
        <w:pStyle w:val="5"/>
        <w:shd w:val="clear" w:color="auto" w:fill="FFFFFF"/>
        <w:spacing w:before="0" w:beforeAutospacing="0" w:after="150" w:afterAutospacing="0" w:line="360" w:lineRule="auto"/>
        <w:ind w:firstLine="480"/>
        <w:rPr>
          <w:rFonts w:cs="Helvetica" w:asciiTheme="minorEastAsia" w:hAnsiTheme="minorEastAsia" w:eastAsiaTheme="minorEastAsia"/>
          <w:color w:val="333333"/>
          <w:sz w:val="28"/>
          <w:szCs w:val="28"/>
        </w:rPr>
      </w:pPr>
    </w:p>
    <w:bookmarkEnd w:id="1"/>
    <w:bookmarkEnd w:id="2"/>
    <w:bookmarkEnd w:id="3"/>
    <w:bookmarkEnd w:id="4"/>
    <w:bookmarkEnd w:id="5"/>
    <w:bookmarkEnd w:id="6"/>
    <w:bookmarkEnd w:id="7"/>
    <w:p>
      <w:pPr>
        <w:jc w:val="center"/>
        <w:rPr>
          <w:b/>
          <w:sz w:val="28"/>
          <w:szCs w:val="28"/>
        </w:rPr>
      </w:pPr>
      <w:r>
        <w:rPr>
          <w:rFonts w:hint="eastAsia"/>
          <w:b/>
          <w:sz w:val="28"/>
          <w:szCs w:val="28"/>
        </w:rPr>
        <w:t>第四章响应文件附件部分格式</w:t>
      </w:r>
    </w:p>
    <w:p>
      <w:pPr>
        <w:rPr>
          <w:sz w:val="28"/>
          <w:szCs w:val="28"/>
        </w:rPr>
      </w:pPr>
      <w:r>
        <w:rPr>
          <w:rFonts w:hint="eastAsia"/>
          <w:sz w:val="28"/>
          <w:szCs w:val="28"/>
        </w:rPr>
        <w:t>附件一：封面</w:t>
      </w:r>
    </w:p>
    <w:p>
      <w:pPr>
        <w:widowControl/>
        <w:autoSpaceDE w:val="0"/>
        <w:autoSpaceDN w:val="0"/>
        <w:adjustRightInd w:val="0"/>
        <w:spacing w:line="400" w:lineRule="exact"/>
        <w:ind w:right="-481"/>
        <w:jc w:val="right"/>
        <w:rPr>
          <w:rFonts w:ascii="宋体" w:hAnsi="宋体" w:eastAsia="宋体" w:cs="Heiti SC Light"/>
          <w:kern w:val="1"/>
          <w:sz w:val="28"/>
          <w:szCs w:val="28"/>
        </w:rPr>
      </w:pPr>
      <w:bookmarkStart w:id="8" w:name="OLE_LINK22"/>
      <w:bookmarkStart w:id="9" w:name="OLE_LINK24"/>
      <w:bookmarkStart w:id="10" w:name="OLE_LINK23"/>
    </w:p>
    <w:p>
      <w:pPr>
        <w:widowControl/>
        <w:autoSpaceDE w:val="0"/>
        <w:autoSpaceDN w:val="0"/>
        <w:adjustRightInd w:val="0"/>
        <w:spacing w:line="400" w:lineRule="exact"/>
        <w:ind w:right="-481"/>
        <w:jc w:val="right"/>
        <w:rPr>
          <w:rFonts w:ascii="宋体" w:hAnsi="宋体" w:eastAsia="宋体" w:cs="Heiti SC Light"/>
          <w:kern w:val="1"/>
          <w:sz w:val="28"/>
          <w:szCs w:val="28"/>
        </w:rPr>
      </w:pPr>
      <w:bookmarkStart w:id="11" w:name="OLE_LINK30"/>
      <w:bookmarkStart w:id="12" w:name="OLE_LINK31"/>
      <w:r>
        <w:rPr>
          <w:rFonts w:hint="eastAsia" w:ascii="宋体" w:hAnsi="宋体" w:eastAsia="宋体" w:cs="Heiti SC Light"/>
          <w:kern w:val="1"/>
          <w:sz w:val="28"/>
          <w:szCs w:val="28"/>
        </w:rPr>
        <w:t>【正（副）本】</w:t>
      </w:r>
    </w:p>
    <w:p>
      <w:pPr>
        <w:widowControl/>
        <w:autoSpaceDE w:val="0"/>
        <w:autoSpaceDN w:val="0"/>
        <w:adjustRightInd w:val="0"/>
        <w:spacing w:line="400" w:lineRule="exact"/>
        <w:ind w:right="-481"/>
        <w:jc w:val="center"/>
        <w:rPr>
          <w:rFonts w:ascii="宋体" w:hAnsi="宋体" w:eastAsia="宋体" w:cs="Times New Roman"/>
          <w:kern w:val="1"/>
          <w:sz w:val="28"/>
          <w:szCs w:val="28"/>
        </w:rPr>
      </w:pPr>
    </w:p>
    <w:p>
      <w:pPr>
        <w:widowControl/>
        <w:autoSpaceDE w:val="0"/>
        <w:autoSpaceDN w:val="0"/>
        <w:adjustRightInd w:val="0"/>
        <w:ind w:right="-482"/>
        <w:jc w:val="center"/>
        <w:rPr>
          <w:rFonts w:ascii="宋体" w:hAnsi="宋体" w:eastAsia="宋体" w:cs="Times New Roman"/>
          <w:kern w:val="1"/>
          <w:sz w:val="28"/>
          <w:szCs w:val="28"/>
        </w:rPr>
      </w:pPr>
    </w:p>
    <w:p>
      <w:pPr>
        <w:widowControl/>
        <w:autoSpaceDE w:val="0"/>
        <w:autoSpaceDN w:val="0"/>
        <w:adjustRightInd w:val="0"/>
        <w:ind w:right="-482"/>
        <w:jc w:val="center"/>
        <w:rPr>
          <w:rFonts w:ascii="宋体" w:hAnsi="宋体" w:eastAsia="宋体" w:cs="Heiti SC Light"/>
          <w:b/>
          <w:bCs/>
          <w:kern w:val="1"/>
          <w:sz w:val="72"/>
          <w:szCs w:val="72"/>
        </w:rPr>
      </w:pPr>
      <w:r>
        <w:rPr>
          <w:rFonts w:hint="eastAsia" w:ascii="宋体" w:hAnsi="宋体" w:eastAsia="宋体" w:cs="Heiti SC Light"/>
          <w:b/>
          <w:bCs/>
          <w:kern w:val="1"/>
          <w:sz w:val="72"/>
          <w:szCs w:val="72"/>
        </w:rPr>
        <w:t>响应文件</w:t>
      </w:r>
    </w:p>
    <w:p>
      <w:pPr>
        <w:widowControl/>
        <w:autoSpaceDE w:val="0"/>
        <w:autoSpaceDN w:val="0"/>
        <w:adjustRightInd w:val="0"/>
        <w:ind w:right="-482"/>
        <w:jc w:val="center"/>
        <w:rPr>
          <w:rFonts w:ascii="宋体" w:hAnsi="宋体" w:eastAsia="宋体" w:cs="Times New Roman"/>
          <w:b/>
          <w:bCs/>
          <w:kern w:val="1"/>
          <w:szCs w:val="21"/>
        </w:rPr>
      </w:pPr>
    </w:p>
    <w:p>
      <w:pPr>
        <w:widowControl/>
        <w:autoSpaceDE w:val="0"/>
        <w:autoSpaceDN w:val="0"/>
        <w:adjustRightInd w:val="0"/>
        <w:ind w:right="-482"/>
        <w:jc w:val="center"/>
        <w:rPr>
          <w:rFonts w:ascii="宋体" w:hAnsi="宋体" w:eastAsia="宋体" w:cs="Times New Roman"/>
          <w:b/>
          <w:bCs/>
          <w:kern w:val="1"/>
          <w:sz w:val="28"/>
          <w:szCs w:val="28"/>
        </w:rPr>
      </w:pPr>
      <w:r>
        <w:rPr>
          <w:rFonts w:hint="eastAsia" w:ascii="宋体" w:hAnsi="宋体" w:eastAsia="宋体" w:cs="Heiti SC Light"/>
          <w:kern w:val="1"/>
          <w:sz w:val="32"/>
          <w:szCs w:val="32"/>
        </w:rPr>
        <w:t>包：第包</w:t>
      </w: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52"/>
          <w:szCs w:val="52"/>
        </w:rPr>
      </w:pPr>
    </w:p>
    <w:p>
      <w:pPr>
        <w:widowControl/>
        <w:autoSpaceDE w:val="0"/>
        <w:autoSpaceDN w:val="0"/>
        <w:adjustRightInd w:val="0"/>
        <w:ind w:right="-482" w:firstLine="2880"/>
        <w:rPr>
          <w:rFonts w:ascii="宋体" w:hAnsi="宋体" w:eastAsia="宋体" w:cs="仿宋"/>
          <w:kern w:val="1"/>
          <w:sz w:val="28"/>
          <w:szCs w:val="28"/>
        </w:rPr>
      </w:pPr>
      <w:r>
        <w:rPr>
          <w:rFonts w:hint="eastAsia" w:ascii="宋体" w:hAnsi="宋体" w:eastAsia="宋体" w:cs="仿宋"/>
          <w:kern w:val="1"/>
          <w:sz w:val="32"/>
          <w:szCs w:val="32"/>
        </w:rPr>
        <w:t>项目名称：</w:t>
      </w:r>
    </w:p>
    <w:p>
      <w:pPr>
        <w:widowControl/>
        <w:autoSpaceDE w:val="0"/>
        <w:autoSpaceDN w:val="0"/>
        <w:adjustRightInd w:val="0"/>
        <w:ind w:right="-482" w:firstLine="2880"/>
        <w:rPr>
          <w:rFonts w:ascii="宋体" w:hAnsi="宋体" w:eastAsia="宋体" w:cs="仿宋"/>
          <w:kern w:val="1"/>
          <w:sz w:val="32"/>
          <w:szCs w:val="32"/>
        </w:rPr>
      </w:pPr>
      <w:r>
        <w:rPr>
          <w:rFonts w:hint="eastAsia" w:ascii="宋体" w:hAnsi="宋体" w:eastAsia="宋体" w:cs="仿宋"/>
          <w:kern w:val="1"/>
          <w:sz w:val="32"/>
          <w:szCs w:val="32"/>
        </w:rPr>
        <w:t>项目编号：</w:t>
      </w:r>
    </w:p>
    <w:p>
      <w:pPr>
        <w:widowControl/>
        <w:autoSpaceDE w:val="0"/>
        <w:autoSpaceDN w:val="0"/>
        <w:adjustRightInd w:val="0"/>
        <w:ind w:right="-482" w:firstLine="2880"/>
        <w:rPr>
          <w:rFonts w:ascii="宋体" w:hAnsi="宋体" w:eastAsia="宋体" w:cs="Times New Roman"/>
          <w:kern w:val="1"/>
          <w:sz w:val="32"/>
          <w:szCs w:val="32"/>
        </w:rPr>
      </w:pPr>
      <w:r>
        <w:rPr>
          <w:rFonts w:hint="eastAsia" w:ascii="宋体" w:hAnsi="宋体" w:eastAsia="宋体" w:cs="仿宋"/>
          <w:kern w:val="1"/>
          <w:sz w:val="32"/>
          <w:szCs w:val="32"/>
        </w:rPr>
        <w:t>供应商全称（盖公章）：</w:t>
      </w:r>
    </w:p>
    <w:p>
      <w:pPr>
        <w:widowControl/>
        <w:autoSpaceDE w:val="0"/>
        <w:autoSpaceDN w:val="0"/>
        <w:adjustRightInd w:val="0"/>
        <w:ind w:right="-482"/>
        <w:jc w:val="center"/>
        <w:rPr>
          <w:rFonts w:ascii="宋体" w:hAnsi="宋体" w:eastAsia="宋体" w:cs="仿宋"/>
          <w:kern w:val="1"/>
          <w:sz w:val="32"/>
          <w:szCs w:val="32"/>
        </w:rPr>
      </w:pPr>
    </w:p>
    <w:p>
      <w:pPr>
        <w:widowControl/>
        <w:autoSpaceDE w:val="0"/>
        <w:autoSpaceDN w:val="0"/>
        <w:adjustRightInd w:val="0"/>
        <w:ind w:right="-482"/>
        <w:jc w:val="center"/>
        <w:rPr>
          <w:rFonts w:ascii="宋体" w:hAnsi="宋体" w:eastAsia="宋体" w:cs="仿宋"/>
          <w:kern w:val="1"/>
          <w:sz w:val="32"/>
          <w:szCs w:val="32"/>
        </w:rPr>
      </w:pPr>
    </w:p>
    <w:p>
      <w:pPr>
        <w:widowControl/>
        <w:autoSpaceDE w:val="0"/>
        <w:autoSpaceDN w:val="0"/>
        <w:adjustRightInd w:val="0"/>
        <w:ind w:right="-482"/>
        <w:jc w:val="center"/>
        <w:rPr>
          <w:b/>
          <w:sz w:val="28"/>
          <w:szCs w:val="28"/>
        </w:rPr>
      </w:pPr>
      <w:r>
        <w:rPr>
          <w:rFonts w:hint="eastAsia" w:ascii="宋体" w:hAnsi="宋体" w:eastAsia="宋体" w:cs="仿宋"/>
          <w:kern w:val="1"/>
          <w:sz w:val="32"/>
          <w:szCs w:val="32"/>
        </w:rPr>
        <w:t>二〇年月日</w:t>
      </w:r>
      <w:bookmarkEnd w:id="8"/>
      <w:bookmarkEnd w:id="9"/>
      <w:bookmarkEnd w:id="10"/>
      <w:bookmarkEnd w:id="11"/>
      <w:bookmarkEnd w:id="12"/>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sz w:val="28"/>
          <w:szCs w:val="28"/>
        </w:rPr>
      </w:pPr>
      <w:r>
        <w:rPr>
          <w:rFonts w:hint="eastAsia"/>
          <w:sz w:val="28"/>
          <w:szCs w:val="28"/>
        </w:rPr>
        <w:t>附件二</w:t>
      </w:r>
    </w:p>
    <w:p>
      <w:pPr>
        <w:pStyle w:val="10"/>
        <w:ind w:left="720" w:firstLine="562"/>
        <w:jc w:val="center"/>
        <w:rPr>
          <w:b/>
          <w:sz w:val="28"/>
          <w:szCs w:val="28"/>
        </w:rPr>
      </w:pPr>
      <w:r>
        <w:rPr>
          <w:rFonts w:hint="eastAsia"/>
          <w:b/>
          <w:sz w:val="28"/>
          <w:szCs w:val="28"/>
        </w:rPr>
        <w:t>投标函</w:t>
      </w:r>
    </w:p>
    <w:p>
      <w:pPr>
        <w:pStyle w:val="10"/>
        <w:ind w:left="720" w:firstLine="562"/>
        <w:jc w:val="center"/>
        <w:rPr>
          <w:b/>
          <w:sz w:val="28"/>
          <w:szCs w:val="28"/>
        </w:rPr>
      </w:pPr>
    </w:p>
    <w:p>
      <w:pPr>
        <w:rPr>
          <w:sz w:val="24"/>
          <w:szCs w:val="24"/>
        </w:rPr>
      </w:pPr>
      <w:r>
        <w:rPr>
          <w:rFonts w:hint="eastAsia"/>
          <w:sz w:val="24"/>
          <w:szCs w:val="24"/>
        </w:rPr>
        <w:t>（采购人）：</w:t>
      </w:r>
    </w:p>
    <w:p>
      <w:pPr>
        <w:spacing w:line="360" w:lineRule="auto"/>
        <w:ind w:firstLine="480" w:firstLineChars="200"/>
        <w:rPr>
          <w:sz w:val="24"/>
          <w:szCs w:val="24"/>
        </w:rPr>
      </w:pPr>
      <w:bookmarkStart w:id="13" w:name="OLE_LINK26"/>
      <w:bookmarkStart w:id="14" w:name="OLE_LINK32"/>
      <w:bookmarkStart w:id="15" w:name="OLE_LINK25"/>
      <w:r>
        <w:rPr>
          <w:rFonts w:hint="eastAsia"/>
          <w:sz w:val="24"/>
          <w:szCs w:val="24"/>
        </w:rPr>
        <w:t>经研究，我方决定参加贵单位组织的项目（项目编号：）的投标。为此，我方郑重声明以下诸点，并负法律责任。</w:t>
      </w:r>
    </w:p>
    <w:bookmarkEnd w:id="13"/>
    <w:bookmarkEnd w:id="14"/>
    <w:bookmarkEnd w:id="15"/>
    <w:p>
      <w:pPr>
        <w:spacing w:line="360" w:lineRule="auto"/>
        <w:ind w:firstLine="480" w:firstLineChars="200"/>
        <w:rPr>
          <w:sz w:val="24"/>
          <w:szCs w:val="24"/>
        </w:rPr>
      </w:pPr>
      <w:r>
        <w:rPr>
          <w:rFonts w:hint="eastAsia"/>
          <w:sz w:val="24"/>
          <w:szCs w:val="24"/>
        </w:rPr>
        <w:t>1、我方提交的投标文件，正本一份，副本</w:t>
      </w:r>
      <w:r>
        <w:rPr>
          <w:rFonts w:hint="eastAsia"/>
          <w:sz w:val="24"/>
          <w:szCs w:val="24"/>
          <w:lang w:val="en-US" w:eastAsia="zh-CN"/>
        </w:rPr>
        <w:t>七</w:t>
      </w:r>
      <w:r>
        <w:rPr>
          <w:rFonts w:hint="eastAsia"/>
          <w:sz w:val="24"/>
          <w:szCs w:val="24"/>
        </w:rPr>
        <w:t>份。</w:t>
      </w:r>
    </w:p>
    <w:p>
      <w:pPr>
        <w:spacing w:line="360" w:lineRule="auto"/>
        <w:ind w:firstLine="480" w:firstLineChars="200"/>
        <w:rPr>
          <w:sz w:val="24"/>
          <w:szCs w:val="24"/>
        </w:rPr>
      </w:pPr>
      <w:r>
        <w:rPr>
          <w:rFonts w:hint="eastAsia"/>
          <w:sz w:val="24"/>
          <w:szCs w:val="24"/>
        </w:rPr>
        <w:t>2、如果我方的投标文件被接受，我方将履行招标文件中规定的每一项要求，并按我方投标文件中的承诺按期、保质、保量提供服务。</w:t>
      </w:r>
    </w:p>
    <w:p>
      <w:pPr>
        <w:spacing w:line="360" w:lineRule="auto"/>
        <w:ind w:firstLine="480" w:firstLineChars="200"/>
        <w:rPr>
          <w:sz w:val="24"/>
          <w:szCs w:val="24"/>
        </w:rPr>
      </w:pPr>
      <w:r>
        <w:rPr>
          <w:rFonts w:hint="eastAsia"/>
          <w:sz w:val="24"/>
          <w:szCs w:val="24"/>
        </w:rPr>
        <w:t>3、我方承诺：如中标，严格按照招标文件要求保质、保量完成本次服务工作，由此发生的一切费用由我方承担。</w:t>
      </w:r>
    </w:p>
    <w:p>
      <w:pPr>
        <w:spacing w:line="360" w:lineRule="auto"/>
        <w:ind w:firstLine="480" w:firstLineChars="200"/>
        <w:rPr>
          <w:sz w:val="24"/>
          <w:szCs w:val="24"/>
        </w:rPr>
      </w:pPr>
      <w:r>
        <w:rPr>
          <w:rFonts w:hint="eastAsia"/>
          <w:sz w:val="24"/>
          <w:szCs w:val="24"/>
        </w:rPr>
        <w:t>4、我方愿按《中华人民共和国</w:t>
      </w:r>
      <w:r>
        <w:rPr>
          <w:rFonts w:hint="eastAsia"/>
          <w:sz w:val="24"/>
          <w:szCs w:val="24"/>
          <w:lang w:val="en-US" w:eastAsia="zh-CN"/>
        </w:rPr>
        <w:t>民法典</w:t>
      </w:r>
      <w:r>
        <w:rPr>
          <w:rFonts w:hint="eastAsia"/>
          <w:sz w:val="24"/>
          <w:szCs w:val="24"/>
        </w:rPr>
        <w:t>》履行自己的全部责任。</w:t>
      </w:r>
    </w:p>
    <w:p>
      <w:pPr>
        <w:spacing w:line="360" w:lineRule="auto"/>
        <w:ind w:firstLine="480" w:firstLineChars="200"/>
        <w:rPr>
          <w:sz w:val="24"/>
          <w:szCs w:val="24"/>
        </w:rPr>
      </w:pPr>
      <w:r>
        <w:rPr>
          <w:rFonts w:hint="eastAsia"/>
          <w:sz w:val="24"/>
          <w:szCs w:val="24"/>
        </w:rPr>
        <w:t>5、我方同意按招标文件规定交纳投标保证金、履约保证金、中标服务费、公证费，遵守贵单位有关招标的各项规定。</w:t>
      </w:r>
    </w:p>
    <w:p>
      <w:pPr>
        <w:spacing w:line="360" w:lineRule="auto"/>
        <w:ind w:firstLine="480" w:firstLineChars="200"/>
        <w:rPr>
          <w:sz w:val="24"/>
          <w:szCs w:val="24"/>
        </w:rPr>
      </w:pPr>
      <w:r>
        <w:rPr>
          <w:rFonts w:hint="eastAsia"/>
          <w:sz w:val="24"/>
          <w:szCs w:val="24"/>
        </w:rPr>
        <w:t>6、我方的投标文件自公开报价之日起有效期为 90 日。</w:t>
      </w:r>
    </w:p>
    <w:p>
      <w:pPr>
        <w:spacing w:line="360" w:lineRule="auto"/>
        <w:ind w:firstLine="480" w:firstLineChars="200"/>
        <w:rPr>
          <w:sz w:val="24"/>
          <w:szCs w:val="24"/>
        </w:rPr>
      </w:pPr>
      <w:r>
        <w:rPr>
          <w:rFonts w:hint="eastAsia"/>
          <w:sz w:val="24"/>
          <w:szCs w:val="24"/>
        </w:rPr>
        <w:t>7、与本报价有关的一切正式往来通讯请寄。</w:t>
      </w:r>
    </w:p>
    <w:p>
      <w:pPr>
        <w:spacing w:line="360" w:lineRule="auto"/>
        <w:ind w:firstLine="360" w:firstLineChars="150"/>
        <w:rPr>
          <w:sz w:val="24"/>
          <w:szCs w:val="24"/>
        </w:rPr>
      </w:pPr>
    </w:p>
    <w:p>
      <w:pPr>
        <w:spacing w:line="360" w:lineRule="auto"/>
        <w:ind w:firstLine="360" w:firstLineChars="150"/>
        <w:rPr>
          <w:sz w:val="24"/>
          <w:szCs w:val="24"/>
        </w:rPr>
      </w:pPr>
      <w:r>
        <w:rPr>
          <w:rFonts w:hint="eastAsia"/>
          <w:sz w:val="24"/>
          <w:szCs w:val="24"/>
        </w:rPr>
        <w:t>供应商代表姓名、职务（印刷体）：</w:t>
      </w:r>
    </w:p>
    <w:p>
      <w:pPr>
        <w:spacing w:line="360" w:lineRule="auto"/>
        <w:ind w:firstLine="360" w:firstLineChars="150"/>
        <w:rPr>
          <w:sz w:val="24"/>
          <w:szCs w:val="24"/>
        </w:rPr>
      </w:pPr>
      <w:r>
        <w:rPr>
          <w:rFonts w:hint="eastAsia"/>
          <w:sz w:val="24"/>
          <w:szCs w:val="24"/>
        </w:rPr>
        <w:t>供应商单位（公章）</w:t>
      </w:r>
    </w:p>
    <w:p>
      <w:pPr>
        <w:spacing w:line="360" w:lineRule="auto"/>
        <w:ind w:firstLine="360" w:firstLineChars="150"/>
        <w:rPr>
          <w:sz w:val="24"/>
          <w:szCs w:val="24"/>
        </w:rPr>
      </w:pPr>
      <w:r>
        <w:rPr>
          <w:rFonts w:hint="eastAsia"/>
          <w:sz w:val="24"/>
          <w:szCs w:val="24"/>
        </w:rPr>
        <w:t>法定代表人签字：</w:t>
      </w:r>
    </w:p>
    <w:p>
      <w:pPr>
        <w:spacing w:line="360" w:lineRule="auto"/>
        <w:ind w:firstLine="360" w:firstLineChars="150"/>
        <w:rPr>
          <w:sz w:val="24"/>
          <w:szCs w:val="24"/>
        </w:rPr>
      </w:pPr>
      <w:r>
        <w:rPr>
          <w:rFonts w:hint="eastAsia"/>
          <w:sz w:val="24"/>
          <w:szCs w:val="24"/>
        </w:rPr>
        <w:t>地址：</w:t>
      </w:r>
    </w:p>
    <w:p>
      <w:pPr>
        <w:spacing w:line="360" w:lineRule="auto"/>
        <w:ind w:firstLine="360" w:firstLineChars="150"/>
        <w:rPr>
          <w:sz w:val="24"/>
          <w:szCs w:val="24"/>
        </w:rPr>
      </w:pPr>
      <w:r>
        <w:rPr>
          <w:rFonts w:hint="eastAsia"/>
          <w:sz w:val="24"/>
          <w:szCs w:val="24"/>
        </w:rPr>
        <w:t>邮政编码：</w:t>
      </w:r>
    </w:p>
    <w:p>
      <w:pPr>
        <w:spacing w:line="360" w:lineRule="auto"/>
        <w:ind w:firstLine="360" w:firstLineChars="150"/>
        <w:rPr>
          <w:sz w:val="24"/>
          <w:szCs w:val="24"/>
        </w:rPr>
      </w:pPr>
      <w:r>
        <w:rPr>
          <w:rFonts w:hint="eastAsia"/>
          <w:sz w:val="24"/>
          <w:szCs w:val="24"/>
        </w:rPr>
        <w:t>电话：</w:t>
      </w:r>
    </w:p>
    <w:p>
      <w:pPr>
        <w:spacing w:line="360" w:lineRule="auto"/>
        <w:ind w:firstLine="360" w:firstLineChars="150"/>
        <w:rPr>
          <w:sz w:val="24"/>
          <w:szCs w:val="24"/>
        </w:rPr>
      </w:pPr>
      <w:r>
        <w:rPr>
          <w:rFonts w:hint="eastAsia"/>
          <w:sz w:val="24"/>
          <w:szCs w:val="24"/>
        </w:rPr>
        <w:t>传真：</w:t>
      </w:r>
    </w:p>
    <w:p>
      <w:pPr>
        <w:pStyle w:val="10"/>
        <w:ind w:left="720" w:firstLine="480"/>
        <w:rPr>
          <w:sz w:val="24"/>
          <w:szCs w:val="24"/>
        </w:rPr>
      </w:pPr>
    </w:p>
    <w:p>
      <w:pPr>
        <w:pStyle w:val="10"/>
        <w:ind w:left="720" w:firstLine="480"/>
        <w:rPr>
          <w:sz w:val="24"/>
          <w:szCs w:val="24"/>
        </w:rPr>
      </w:pPr>
    </w:p>
    <w:p>
      <w:pPr>
        <w:pStyle w:val="10"/>
        <w:ind w:left="720" w:firstLine="480"/>
        <w:rPr>
          <w:sz w:val="24"/>
          <w:szCs w:val="24"/>
        </w:rPr>
      </w:pPr>
    </w:p>
    <w:p>
      <w:pPr>
        <w:pStyle w:val="10"/>
        <w:ind w:left="720" w:firstLine="480"/>
        <w:rPr>
          <w:sz w:val="24"/>
          <w:szCs w:val="24"/>
        </w:rPr>
      </w:pPr>
    </w:p>
    <w:p>
      <w:pPr>
        <w:pStyle w:val="10"/>
        <w:ind w:left="720" w:firstLine="480"/>
        <w:rPr>
          <w:sz w:val="24"/>
          <w:szCs w:val="24"/>
        </w:rPr>
      </w:pPr>
      <w:r>
        <w:rPr>
          <w:rFonts w:hint="eastAsia"/>
          <w:sz w:val="24"/>
          <w:szCs w:val="24"/>
        </w:rPr>
        <w:t>年月日</w:t>
      </w:r>
    </w:p>
    <w:p>
      <w:pPr>
        <w:pStyle w:val="10"/>
        <w:ind w:left="720" w:firstLine="560"/>
        <w:rPr>
          <w:sz w:val="28"/>
          <w:szCs w:val="28"/>
        </w:rPr>
      </w:pPr>
    </w:p>
    <w:p>
      <w:pPr>
        <w:ind w:firstLine="420" w:firstLineChars="150"/>
        <w:jc w:val="left"/>
        <w:rPr>
          <w:sz w:val="28"/>
          <w:szCs w:val="28"/>
        </w:rPr>
      </w:pPr>
      <w:r>
        <w:rPr>
          <w:rFonts w:hint="eastAsia"/>
          <w:sz w:val="28"/>
          <w:szCs w:val="28"/>
        </w:rPr>
        <w:t>附件三</w:t>
      </w:r>
    </w:p>
    <w:p>
      <w:pPr>
        <w:ind w:firstLine="420" w:firstLineChars="150"/>
        <w:jc w:val="left"/>
        <w:rPr>
          <w:sz w:val="28"/>
          <w:szCs w:val="28"/>
        </w:rPr>
      </w:pPr>
    </w:p>
    <w:p>
      <w:pPr>
        <w:pStyle w:val="10"/>
        <w:ind w:left="720" w:firstLine="562"/>
        <w:jc w:val="center"/>
        <w:rPr>
          <w:b/>
          <w:sz w:val="28"/>
          <w:szCs w:val="28"/>
        </w:rPr>
      </w:pPr>
      <w:r>
        <w:rPr>
          <w:rFonts w:hint="eastAsia"/>
          <w:b/>
          <w:sz w:val="28"/>
          <w:szCs w:val="28"/>
        </w:rPr>
        <w:t>法定代表人授权委托书</w:t>
      </w:r>
    </w:p>
    <w:p>
      <w:pPr>
        <w:pStyle w:val="10"/>
        <w:ind w:left="720" w:firstLine="480"/>
        <w:rPr>
          <w:sz w:val="24"/>
          <w:szCs w:val="24"/>
        </w:rPr>
      </w:pPr>
    </w:p>
    <w:p>
      <w:pPr>
        <w:ind w:firstLine="480" w:firstLineChars="200"/>
        <w:rPr>
          <w:sz w:val="24"/>
          <w:szCs w:val="24"/>
        </w:rPr>
      </w:pPr>
      <w:r>
        <w:rPr>
          <w:rFonts w:hint="eastAsia"/>
          <w:sz w:val="24"/>
          <w:szCs w:val="24"/>
        </w:rPr>
        <w:t>（采购人）：</w:t>
      </w:r>
    </w:p>
    <w:p>
      <w:pPr>
        <w:ind w:firstLine="480" w:firstLineChars="200"/>
        <w:rPr>
          <w:sz w:val="24"/>
          <w:szCs w:val="24"/>
        </w:rPr>
      </w:pPr>
    </w:p>
    <w:p>
      <w:pPr>
        <w:pStyle w:val="10"/>
        <w:spacing w:line="360" w:lineRule="auto"/>
        <w:ind w:left="720" w:firstLine="480"/>
        <w:rPr>
          <w:sz w:val="24"/>
          <w:szCs w:val="24"/>
        </w:rPr>
      </w:pPr>
      <w:r>
        <w:rPr>
          <w:rFonts w:hint="eastAsia"/>
          <w:sz w:val="24"/>
          <w:szCs w:val="24"/>
        </w:rPr>
        <w:t>声明：我 __（姓名）系</w:t>
      </w:r>
      <w:r>
        <w:rPr>
          <w:rFonts w:hint="eastAsia"/>
          <w:sz w:val="24"/>
          <w:szCs w:val="24"/>
          <w:u w:val="single"/>
        </w:rPr>
        <w:t>（</w:t>
      </w:r>
      <w:r>
        <w:rPr>
          <w:rFonts w:hint="eastAsia"/>
          <w:sz w:val="24"/>
          <w:szCs w:val="24"/>
        </w:rPr>
        <w:t>投标单位名称）的法定代表人，现授权委托</w:t>
      </w:r>
      <w:r>
        <w:rPr>
          <w:rFonts w:hint="eastAsia"/>
          <w:sz w:val="24"/>
          <w:szCs w:val="24"/>
          <w:u w:val="single"/>
        </w:rPr>
        <w:t>（</w:t>
      </w:r>
      <w:r>
        <w:rPr>
          <w:rFonts w:hint="eastAsia"/>
          <w:sz w:val="24"/>
          <w:szCs w:val="24"/>
        </w:rPr>
        <w:t>姓名）为我公司代理人，代表我公司参加项目招标活动。代理人负责投标业务、销售业务和结算业务，所签署的一切文件和处理与之有关的一切事务，我均予承认。</w:t>
      </w:r>
    </w:p>
    <w:p>
      <w:pPr>
        <w:pStyle w:val="10"/>
        <w:spacing w:line="360" w:lineRule="auto"/>
        <w:ind w:left="720" w:firstLine="480"/>
        <w:rPr>
          <w:sz w:val="24"/>
          <w:szCs w:val="24"/>
        </w:rPr>
      </w:pPr>
    </w:p>
    <w:p>
      <w:pPr>
        <w:pStyle w:val="10"/>
        <w:spacing w:line="360" w:lineRule="auto"/>
        <w:ind w:left="720" w:firstLine="480"/>
        <w:rPr>
          <w:sz w:val="24"/>
          <w:szCs w:val="24"/>
        </w:rPr>
      </w:pPr>
      <w:r>
        <w:rPr>
          <w:rFonts w:hint="eastAsia"/>
          <w:sz w:val="24"/>
          <w:szCs w:val="24"/>
        </w:rPr>
        <w:t>代理人：性别：年龄：</w:t>
      </w:r>
    </w:p>
    <w:p>
      <w:pPr>
        <w:pStyle w:val="10"/>
        <w:spacing w:line="360" w:lineRule="auto"/>
        <w:ind w:left="720" w:firstLine="480"/>
        <w:rPr>
          <w:sz w:val="24"/>
          <w:szCs w:val="24"/>
        </w:rPr>
      </w:pPr>
      <w:r>
        <w:rPr>
          <w:rFonts w:hint="eastAsia"/>
          <w:sz w:val="24"/>
          <w:szCs w:val="24"/>
        </w:rPr>
        <w:t>单位：部门：职务：</w:t>
      </w:r>
    </w:p>
    <w:p>
      <w:pPr>
        <w:pStyle w:val="10"/>
        <w:spacing w:line="360" w:lineRule="auto"/>
        <w:ind w:left="720" w:firstLine="480"/>
        <w:rPr>
          <w:sz w:val="24"/>
          <w:szCs w:val="24"/>
        </w:rPr>
      </w:pPr>
      <w:r>
        <w:rPr>
          <w:rFonts w:hint="eastAsia"/>
          <w:sz w:val="24"/>
          <w:szCs w:val="24"/>
        </w:rPr>
        <w:t>代理人无转委托权。特此委托。</w:t>
      </w:r>
    </w:p>
    <w:p>
      <w:pPr>
        <w:pStyle w:val="10"/>
        <w:spacing w:line="360" w:lineRule="auto"/>
        <w:ind w:left="720" w:firstLine="480"/>
        <w:rPr>
          <w:sz w:val="24"/>
          <w:szCs w:val="24"/>
        </w:rPr>
      </w:pPr>
    </w:p>
    <w:p>
      <w:pPr>
        <w:pStyle w:val="10"/>
        <w:spacing w:line="360" w:lineRule="auto"/>
        <w:ind w:left="720" w:firstLine="480"/>
        <w:rPr>
          <w:sz w:val="24"/>
          <w:szCs w:val="24"/>
        </w:rPr>
      </w:pPr>
      <w:r>
        <w:rPr>
          <w:rFonts w:hint="eastAsia"/>
          <w:sz w:val="24"/>
          <w:szCs w:val="24"/>
        </w:rPr>
        <w:t>供应商名称：（盖章）</w:t>
      </w:r>
    </w:p>
    <w:p>
      <w:pPr>
        <w:pStyle w:val="10"/>
        <w:spacing w:line="360" w:lineRule="auto"/>
        <w:ind w:left="720" w:firstLine="480"/>
        <w:rPr>
          <w:sz w:val="24"/>
          <w:szCs w:val="24"/>
        </w:rPr>
      </w:pPr>
      <w:r>
        <w:rPr>
          <w:rFonts w:hint="eastAsia"/>
          <w:sz w:val="24"/>
          <w:szCs w:val="24"/>
        </w:rPr>
        <w:t>法定代表人签字：</w:t>
      </w:r>
    </w:p>
    <w:p>
      <w:pPr>
        <w:pStyle w:val="10"/>
        <w:spacing w:line="360" w:lineRule="auto"/>
        <w:ind w:left="720" w:firstLine="480"/>
        <w:rPr>
          <w:sz w:val="24"/>
          <w:szCs w:val="24"/>
        </w:rPr>
      </w:pPr>
    </w:p>
    <w:p>
      <w:pPr>
        <w:pStyle w:val="10"/>
        <w:spacing w:line="360" w:lineRule="auto"/>
        <w:ind w:left="720" w:firstLine="480"/>
        <w:rPr>
          <w:sz w:val="24"/>
          <w:szCs w:val="24"/>
        </w:rPr>
      </w:pPr>
    </w:p>
    <w:p>
      <w:pPr>
        <w:pStyle w:val="10"/>
        <w:spacing w:line="360" w:lineRule="auto"/>
        <w:ind w:left="720" w:firstLine="480"/>
        <w:rPr>
          <w:sz w:val="24"/>
          <w:szCs w:val="24"/>
        </w:rPr>
      </w:pPr>
    </w:p>
    <w:p>
      <w:pPr>
        <w:pStyle w:val="10"/>
        <w:spacing w:line="360" w:lineRule="auto"/>
        <w:ind w:left="720" w:firstLine="480"/>
        <w:rPr>
          <w:sz w:val="24"/>
          <w:szCs w:val="24"/>
        </w:rPr>
      </w:pPr>
    </w:p>
    <w:p>
      <w:pPr>
        <w:pStyle w:val="10"/>
        <w:ind w:left="720" w:firstLine="480"/>
        <w:rPr>
          <w:sz w:val="24"/>
          <w:szCs w:val="24"/>
        </w:rPr>
      </w:pPr>
    </w:p>
    <w:p>
      <w:pPr>
        <w:pStyle w:val="10"/>
        <w:ind w:left="720" w:right="120" w:firstLine="480"/>
        <w:jc w:val="right"/>
        <w:rPr>
          <w:sz w:val="24"/>
          <w:szCs w:val="24"/>
        </w:rPr>
      </w:pPr>
      <w:r>
        <w:rPr>
          <w:rFonts w:hint="eastAsia"/>
          <w:sz w:val="24"/>
          <w:szCs w:val="24"/>
        </w:rPr>
        <w:t>年月日</w:t>
      </w:r>
    </w:p>
    <w:p>
      <w:pPr>
        <w:pStyle w:val="10"/>
        <w:ind w:left="720" w:firstLine="480"/>
        <w:rPr>
          <w:sz w:val="24"/>
          <w:szCs w:val="24"/>
        </w:rPr>
      </w:pPr>
    </w:p>
    <w:p>
      <w:pPr>
        <w:pStyle w:val="10"/>
        <w:ind w:left="720" w:firstLine="480"/>
        <w:rPr>
          <w:sz w:val="24"/>
          <w:szCs w:val="24"/>
        </w:rPr>
      </w:pPr>
    </w:p>
    <w:p>
      <w:pPr>
        <w:pStyle w:val="10"/>
        <w:ind w:left="720" w:firstLine="560"/>
        <w:rPr>
          <w:sz w:val="28"/>
          <w:szCs w:val="28"/>
        </w:rPr>
      </w:pPr>
    </w:p>
    <w:p>
      <w:pPr>
        <w:pStyle w:val="10"/>
        <w:ind w:left="720" w:firstLine="560"/>
        <w:rPr>
          <w:sz w:val="28"/>
          <w:szCs w:val="28"/>
        </w:rPr>
      </w:pPr>
    </w:p>
    <w:p>
      <w:pPr>
        <w:pStyle w:val="10"/>
        <w:ind w:left="720" w:firstLine="560"/>
        <w:rPr>
          <w:sz w:val="28"/>
          <w:szCs w:val="28"/>
        </w:rPr>
      </w:pPr>
    </w:p>
    <w:p>
      <w:pPr>
        <w:pStyle w:val="10"/>
        <w:ind w:left="720" w:firstLine="560"/>
        <w:rPr>
          <w:sz w:val="28"/>
          <w:szCs w:val="28"/>
        </w:rPr>
      </w:pPr>
    </w:p>
    <w:p>
      <w:pPr>
        <w:ind w:firstLine="420" w:firstLineChars="150"/>
        <w:jc w:val="left"/>
        <w:rPr>
          <w:sz w:val="28"/>
          <w:szCs w:val="28"/>
        </w:rPr>
      </w:pPr>
      <w:r>
        <w:rPr>
          <w:rFonts w:hint="eastAsia"/>
          <w:sz w:val="28"/>
          <w:szCs w:val="28"/>
        </w:rPr>
        <w:t>附件四</w:t>
      </w:r>
    </w:p>
    <w:p>
      <w:pPr>
        <w:pStyle w:val="10"/>
        <w:ind w:left="720" w:firstLine="562"/>
        <w:jc w:val="center"/>
        <w:rPr>
          <w:b/>
          <w:sz w:val="28"/>
          <w:szCs w:val="28"/>
        </w:rPr>
      </w:pPr>
      <w:r>
        <w:rPr>
          <w:rFonts w:hint="eastAsia"/>
          <w:b/>
          <w:sz w:val="28"/>
          <w:szCs w:val="28"/>
        </w:rPr>
        <w:t>报价一览表</w:t>
      </w:r>
    </w:p>
    <w:p>
      <w:pPr>
        <w:pStyle w:val="10"/>
        <w:spacing w:line="360" w:lineRule="auto"/>
        <w:ind w:left="720" w:firstLine="560"/>
        <w:rPr>
          <w:sz w:val="28"/>
          <w:szCs w:val="28"/>
          <w:highlight w:val="yellow"/>
        </w:rPr>
      </w:pPr>
    </w:p>
    <w:p>
      <w:pPr>
        <w:spacing w:line="360" w:lineRule="auto"/>
        <w:ind w:firstLine="360" w:firstLineChars="150"/>
        <w:rPr>
          <w:sz w:val="24"/>
          <w:szCs w:val="24"/>
        </w:rPr>
      </w:pPr>
      <w:bookmarkStart w:id="16" w:name="OLE_LINK53"/>
      <w:bookmarkStart w:id="17" w:name="OLE_LINK54"/>
      <w:r>
        <w:rPr>
          <w:rFonts w:hint="eastAsia"/>
          <w:sz w:val="24"/>
          <w:szCs w:val="24"/>
        </w:rPr>
        <w:t>项目名称：</w:t>
      </w:r>
    </w:p>
    <w:p>
      <w:pPr>
        <w:spacing w:line="360" w:lineRule="auto"/>
        <w:ind w:firstLine="360" w:firstLineChars="150"/>
        <w:rPr>
          <w:sz w:val="24"/>
          <w:szCs w:val="24"/>
        </w:rPr>
      </w:pPr>
      <w:r>
        <w:rPr>
          <w:rFonts w:hint="eastAsia"/>
          <w:sz w:val="24"/>
          <w:szCs w:val="24"/>
        </w:rPr>
        <w:t>项目编号：</w:t>
      </w:r>
    </w:p>
    <w:p>
      <w:pPr>
        <w:spacing w:line="360" w:lineRule="auto"/>
        <w:ind w:firstLine="360" w:firstLineChars="150"/>
        <w:rPr>
          <w:sz w:val="24"/>
          <w:szCs w:val="24"/>
        </w:rPr>
      </w:pPr>
      <w:r>
        <w:rPr>
          <w:rFonts w:hint="eastAsia"/>
          <w:sz w:val="24"/>
          <w:szCs w:val="24"/>
        </w:rPr>
        <w:t>包号：</w:t>
      </w:r>
    </w:p>
    <w:bookmarkEnd w:id="16"/>
    <w:bookmarkEnd w:id="17"/>
    <w:tbl>
      <w:tblPr>
        <w:tblStyle w:val="6"/>
        <w:tblW w:w="89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7"/>
        <w:gridCol w:w="3543"/>
        <w:gridCol w:w="1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jc w:val="center"/>
        </w:trPr>
        <w:tc>
          <w:tcPr>
            <w:tcW w:w="3587" w:type="dxa"/>
            <w:tcBorders>
              <w:bottom w:val="single" w:color="auto" w:sz="4" w:space="0"/>
            </w:tcBorders>
            <w:vAlign w:val="center"/>
          </w:tcPr>
          <w:p>
            <w:pPr>
              <w:tabs>
                <w:tab w:val="left" w:pos="1337"/>
              </w:tabs>
              <w:ind w:firstLine="240" w:firstLineChars="100"/>
              <w:jc w:val="center"/>
              <w:rPr>
                <w:rFonts w:ascii="宋体" w:hAnsi="宋体"/>
                <w:color w:val="000000"/>
                <w:sz w:val="24"/>
                <w:szCs w:val="24"/>
              </w:rPr>
            </w:pPr>
            <w:r>
              <w:rPr>
                <w:rFonts w:hint="eastAsia" w:ascii="宋体" w:hAnsi="宋体"/>
                <w:color w:val="000000"/>
                <w:sz w:val="24"/>
                <w:szCs w:val="24"/>
              </w:rPr>
              <w:t>项目名称</w:t>
            </w:r>
          </w:p>
        </w:tc>
        <w:tc>
          <w:tcPr>
            <w:tcW w:w="3543" w:type="dxa"/>
            <w:tcBorders>
              <w:bottom w:val="single" w:color="auto" w:sz="4" w:space="0"/>
            </w:tcBorders>
            <w:vAlign w:val="center"/>
          </w:tcPr>
          <w:p>
            <w:pPr>
              <w:tabs>
                <w:tab w:val="left" w:pos="1337"/>
              </w:tabs>
              <w:jc w:val="center"/>
              <w:rPr>
                <w:rFonts w:ascii="宋体" w:hAnsi="宋体"/>
                <w:color w:val="000000"/>
                <w:sz w:val="24"/>
                <w:szCs w:val="24"/>
              </w:rPr>
            </w:pPr>
            <w:r>
              <w:rPr>
                <w:rFonts w:hint="eastAsia" w:ascii="宋体" w:hAnsi="宋体"/>
                <w:color w:val="000000"/>
                <w:sz w:val="24"/>
                <w:szCs w:val="24"/>
              </w:rPr>
              <w:t>总报价（元）</w:t>
            </w:r>
          </w:p>
        </w:tc>
        <w:tc>
          <w:tcPr>
            <w:tcW w:w="1834" w:type="dxa"/>
            <w:tcBorders>
              <w:bottom w:val="single" w:color="auto" w:sz="4" w:space="0"/>
            </w:tcBorders>
            <w:vAlign w:val="center"/>
          </w:tcPr>
          <w:p>
            <w:pPr>
              <w:tabs>
                <w:tab w:val="left" w:pos="1337"/>
              </w:tabs>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6" w:hRule="atLeast"/>
          <w:jc w:val="center"/>
        </w:trPr>
        <w:tc>
          <w:tcPr>
            <w:tcW w:w="3587" w:type="dxa"/>
            <w:vAlign w:val="center"/>
          </w:tcPr>
          <w:p>
            <w:pPr>
              <w:tabs>
                <w:tab w:val="left" w:pos="1337"/>
              </w:tabs>
              <w:jc w:val="center"/>
              <w:rPr>
                <w:rFonts w:ascii="宋体" w:hAnsi="宋体"/>
                <w:color w:val="000000"/>
                <w:sz w:val="24"/>
                <w:szCs w:val="24"/>
              </w:rPr>
            </w:pPr>
            <w:r>
              <w:rPr>
                <w:rFonts w:hint="eastAsia" w:ascii="宋体" w:hAnsi="宋体"/>
                <w:color w:val="000000"/>
                <w:sz w:val="24"/>
                <w:szCs w:val="24"/>
              </w:rPr>
              <w:t>总报价</w:t>
            </w:r>
          </w:p>
        </w:tc>
        <w:tc>
          <w:tcPr>
            <w:tcW w:w="3543" w:type="dxa"/>
            <w:vAlign w:val="center"/>
          </w:tcPr>
          <w:p>
            <w:pPr>
              <w:tabs>
                <w:tab w:val="left" w:pos="1337"/>
              </w:tabs>
              <w:rPr>
                <w:rFonts w:ascii="宋体" w:hAnsi="宋体"/>
                <w:color w:val="000000"/>
                <w:sz w:val="24"/>
                <w:szCs w:val="24"/>
              </w:rPr>
            </w:pPr>
            <w:r>
              <w:rPr>
                <w:rFonts w:hint="eastAsia" w:ascii="宋体" w:hAnsi="宋体"/>
                <w:color w:val="000000"/>
                <w:sz w:val="24"/>
                <w:szCs w:val="24"/>
              </w:rPr>
              <w:t>大写：</w:t>
            </w:r>
          </w:p>
          <w:p>
            <w:pPr>
              <w:tabs>
                <w:tab w:val="left" w:pos="1337"/>
              </w:tabs>
              <w:rPr>
                <w:rFonts w:ascii="宋体" w:hAnsi="宋体"/>
                <w:color w:val="000000"/>
                <w:sz w:val="24"/>
                <w:szCs w:val="24"/>
              </w:rPr>
            </w:pPr>
            <w:r>
              <w:rPr>
                <w:rFonts w:hint="eastAsia" w:ascii="宋体" w:hAnsi="宋体"/>
                <w:color w:val="000000"/>
                <w:sz w:val="24"/>
                <w:szCs w:val="24"/>
              </w:rPr>
              <w:t>小写：</w:t>
            </w:r>
          </w:p>
        </w:tc>
        <w:tc>
          <w:tcPr>
            <w:tcW w:w="1834" w:type="dxa"/>
            <w:vAlign w:val="center"/>
          </w:tcPr>
          <w:p>
            <w:pPr>
              <w:tabs>
                <w:tab w:val="left" w:pos="1337"/>
              </w:tabs>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jc w:val="center"/>
        </w:trPr>
        <w:tc>
          <w:tcPr>
            <w:tcW w:w="3587" w:type="dxa"/>
            <w:vAlign w:val="center"/>
          </w:tcPr>
          <w:p>
            <w:pPr>
              <w:tabs>
                <w:tab w:val="left" w:pos="1337"/>
              </w:tabs>
              <w:jc w:val="center"/>
              <w:rPr>
                <w:rFonts w:ascii="宋体" w:hAnsi="宋体"/>
                <w:color w:val="000000"/>
                <w:sz w:val="24"/>
                <w:szCs w:val="24"/>
              </w:rPr>
            </w:pPr>
            <w:r>
              <w:rPr>
                <w:rFonts w:hint="eastAsia" w:ascii="宋体" w:hAnsi="宋体"/>
                <w:color w:val="000000"/>
                <w:sz w:val="24"/>
                <w:szCs w:val="24"/>
              </w:rPr>
              <w:t>实施周期</w:t>
            </w:r>
          </w:p>
        </w:tc>
        <w:tc>
          <w:tcPr>
            <w:tcW w:w="3543" w:type="dxa"/>
            <w:vAlign w:val="center"/>
          </w:tcPr>
          <w:p>
            <w:pPr>
              <w:tabs>
                <w:tab w:val="left" w:pos="1337"/>
              </w:tabs>
              <w:ind w:firstLine="2280" w:firstLineChars="950"/>
              <w:rPr>
                <w:rFonts w:ascii="宋体" w:hAnsi="宋体"/>
                <w:color w:val="000000"/>
                <w:sz w:val="24"/>
                <w:szCs w:val="24"/>
              </w:rPr>
            </w:pPr>
            <w:r>
              <w:rPr>
                <w:rFonts w:hint="eastAsia" w:ascii="宋体" w:hAnsi="宋体"/>
                <w:color w:val="000000"/>
                <w:sz w:val="24"/>
                <w:szCs w:val="24"/>
              </w:rPr>
              <w:t>日历日</w:t>
            </w:r>
          </w:p>
        </w:tc>
        <w:tc>
          <w:tcPr>
            <w:tcW w:w="1834" w:type="dxa"/>
            <w:vAlign w:val="center"/>
          </w:tcPr>
          <w:p>
            <w:pPr>
              <w:tabs>
                <w:tab w:val="left" w:pos="1337"/>
              </w:tabs>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2" w:hRule="atLeast"/>
          <w:jc w:val="center"/>
        </w:trPr>
        <w:tc>
          <w:tcPr>
            <w:tcW w:w="3587" w:type="dxa"/>
            <w:vAlign w:val="center"/>
          </w:tcPr>
          <w:p>
            <w:pPr>
              <w:tabs>
                <w:tab w:val="left" w:pos="1337"/>
              </w:tabs>
              <w:jc w:val="center"/>
              <w:rPr>
                <w:rFonts w:ascii="宋体" w:hAnsi="宋体"/>
                <w:color w:val="000000"/>
                <w:sz w:val="24"/>
                <w:szCs w:val="24"/>
              </w:rPr>
            </w:pPr>
            <w:r>
              <w:rPr>
                <w:rFonts w:hint="eastAsia" w:ascii="宋体" w:hAnsi="宋体"/>
                <w:color w:val="000000"/>
                <w:sz w:val="24"/>
                <w:szCs w:val="24"/>
              </w:rPr>
              <w:t>质保期</w:t>
            </w:r>
          </w:p>
        </w:tc>
        <w:tc>
          <w:tcPr>
            <w:tcW w:w="3543" w:type="dxa"/>
            <w:vAlign w:val="center"/>
          </w:tcPr>
          <w:p>
            <w:pPr>
              <w:tabs>
                <w:tab w:val="left" w:pos="1337"/>
              </w:tabs>
              <w:rPr>
                <w:rFonts w:ascii="宋体" w:hAnsi="宋体"/>
                <w:color w:val="000000"/>
                <w:sz w:val="24"/>
                <w:szCs w:val="24"/>
              </w:rPr>
            </w:pPr>
            <w:r>
              <w:rPr>
                <w:rFonts w:hint="eastAsia" w:ascii="宋体" w:hAnsi="宋体"/>
                <w:color w:val="000000"/>
                <w:sz w:val="24"/>
                <w:szCs w:val="24"/>
              </w:rPr>
              <w:t xml:space="preserve">               年 </w:t>
            </w:r>
          </w:p>
        </w:tc>
        <w:tc>
          <w:tcPr>
            <w:tcW w:w="1834" w:type="dxa"/>
            <w:vAlign w:val="center"/>
          </w:tcPr>
          <w:p>
            <w:pPr>
              <w:tabs>
                <w:tab w:val="left" w:pos="1337"/>
              </w:tabs>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2" w:hRule="atLeast"/>
          <w:jc w:val="center"/>
        </w:trPr>
        <w:tc>
          <w:tcPr>
            <w:tcW w:w="3587" w:type="dxa"/>
            <w:vAlign w:val="center"/>
          </w:tcPr>
          <w:p>
            <w:pPr>
              <w:tabs>
                <w:tab w:val="left" w:pos="1337"/>
              </w:tabs>
              <w:jc w:val="center"/>
              <w:rPr>
                <w:rFonts w:ascii="宋体" w:hAnsi="宋体"/>
                <w:color w:val="000000"/>
                <w:sz w:val="24"/>
                <w:szCs w:val="24"/>
              </w:rPr>
            </w:pPr>
            <w:r>
              <w:rPr>
                <w:rFonts w:hint="eastAsia" w:ascii="宋体" w:hAnsi="宋体"/>
                <w:color w:val="000000"/>
                <w:sz w:val="24"/>
                <w:szCs w:val="24"/>
              </w:rPr>
              <w:t>对竞争性磋商文件的</w:t>
            </w:r>
          </w:p>
          <w:p>
            <w:pPr>
              <w:tabs>
                <w:tab w:val="left" w:pos="1337"/>
              </w:tabs>
              <w:jc w:val="center"/>
              <w:rPr>
                <w:rFonts w:ascii="宋体" w:hAnsi="宋体"/>
                <w:color w:val="000000"/>
                <w:sz w:val="24"/>
                <w:szCs w:val="24"/>
              </w:rPr>
            </w:pPr>
            <w:r>
              <w:rPr>
                <w:rFonts w:hint="eastAsia" w:ascii="宋体" w:hAnsi="宋体"/>
                <w:color w:val="000000"/>
                <w:sz w:val="24"/>
                <w:szCs w:val="24"/>
              </w:rPr>
              <w:t>认同程度</w:t>
            </w:r>
          </w:p>
        </w:tc>
        <w:tc>
          <w:tcPr>
            <w:tcW w:w="3543" w:type="dxa"/>
            <w:vAlign w:val="center"/>
          </w:tcPr>
          <w:p>
            <w:pPr>
              <w:tabs>
                <w:tab w:val="left" w:pos="1337"/>
              </w:tabs>
              <w:rPr>
                <w:rFonts w:ascii="宋体" w:hAnsi="宋体"/>
                <w:color w:val="000000"/>
                <w:sz w:val="24"/>
                <w:szCs w:val="24"/>
              </w:rPr>
            </w:pPr>
          </w:p>
        </w:tc>
        <w:tc>
          <w:tcPr>
            <w:tcW w:w="1834" w:type="dxa"/>
            <w:vAlign w:val="center"/>
          </w:tcPr>
          <w:p>
            <w:pPr>
              <w:tabs>
                <w:tab w:val="left" w:pos="1337"/>
              </w:tabs>
              <w:rPr>
                <w:rFonts w:ascii="宋体" w:hAnsi="宋体"/>
                <w:color w:val="000000"/>
                <w:sz w:val="24"/>
                <w:szCs w:val="24"/>
              </w:rPr>
            </w:pPr>
          </w:p>
        </w:tc>
      </w:tr>
    </w:tbl>
    <w:p>
      <w:pPr>
        <w:spacing w:line="360" w:lineRule="auto"/>
        <w:ind w:firstLine="360" w:firstLineChars="150"/>
        <w:rPr>
          <w:sz w:val="24"/>
          <w:szCs w:val="24"/>
        </w:rPr>
      </w:pPr>
    </w:p>
    <w:p>
      <w:pPr>
        <w:spacing w:line="360" w:lineRule="auto"/>
        <w:ind w:firstLine="360" w:firstLineChars="150"/>
        <w:rPr>
          <w:sz w:val="24"/>
          <w:szCs w:val="24"/>
        </w:rPr>
      </w:pPr>
      <w:r>
        <w:rPr>
          <w:rFonts w:hint="eastAsia"/>
          <w:sz w:val="24"/>
          <w:szCs w:val="24"/>
        </w:rPr>
        <w:t>供应商名称：（盖章）</w:t>
      </w:r>
    </w:p>
    <w:p>
      <w:pPr>
        <w:spacing w:line="360" w:lineRule="auto"/>
        <w:ind w:firstLine="360" w:firstLineChars="150"/>
        <w:rPr>
          <w:sz w:val="24"/>
          <w:szCs w:val="24"/>
        </w:rPr>
      </w:pPr>
      <w:r>
        <w:rPr>
          <w:rFonts w:hint="eastAsia"/>
          <w:sz w:val="24"/>
          <w:szCs w:val="24"/>
        </w:rPr>
        <w:t>法定代表人或授权代理人签字：</w:t>
      </w:r>
    </w:p>
    <w:p>
      <w:pPr>
        <w:spacing w:line="360" w:lineRule="auto"/>
        <w:ind w:firstLine="360" w:firstLineChars="150"/>
        <w:rPr>
          <w:sz w:val="24"/>
          <w:szCs w:val="24"/>
        </w:rPr>
      </w:pPr>
    </w:p>
    <w:p>
      <w:pPr>
        <w:spacing w:line="360" w:lineRule="auto"/>
        <w:ind w:firstLine="5880" w:firstLineChars="2450"/>
        <w:rPr>
          <w:sz w:val="24"/>
          <w:szCs w:val="24"/>
        </w:rPr>
      </w:pPr>
      <w:r>
        <w:rPr>
          <w:rFonts w:hint="eastAsia"/>
          <w:sz w:val="24"/>
          <w:szCs w:val="24"/>
        </w:rPr>
        <w:t>年月日</w:t>
      </w: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p>
    <w:p>
      <w:pPr>
        <w:pStyle w:val="2"/>
        <w:spacing w:before="0" w:after="0"/>
        <w:rPr>
          <w:rFonts w:ascii="宋体" w:hAnsi="宋体" w:eastAsia="宋体"/>
          <w:sz w:val="28"/>
          <w:szCs w:val="28"/>
        </w:rPr>
      </w:pPr>
      <w:r>
        <w:rPr>
          <w:rFonts w:hint="eastAsia" w:ascii="宋体" w:hAnsi="宋体" w:eastAsia="宋体" w:cs="Times New Roman"/>
          <w:color w:val="000000"/>
          <w:sz w:val="28"/>
          <w:szCs w:val="28"/>
        </w:rPr>
        <w:t>附件五</w:t>
      </w:r>
    </w:p>
    <w:p>
      <w:pPr>
        <w:pStyle w:val="3"/>
        <w:spacing w:after="0"/>
        <w:jc w:val="center"/>
        <w:outlineLvl w:val="0"/>
        <w:rPr>
          <w:rFonts w:ascii="宋体" w:hAnsi="宋体"/>
          <w:b/>
          <w:color w:val="000000"/>
          <w:sz w:val="32"/>
          <w:szCs w:val="32"/>
        </w:rPr>
      </w:pPr>
      <w:r>
        <w:rPr>
          <w:rFonts w:hint="eastAsia" w:ascii="宋体" w:hAnsi="宋体"/>
          <w:b/>
          <w:color w:val="000000"/>
          <w:sz w:val="32"/>
          <w:szCs w:val="32"/>
        </w:rPr>
        <w:t>技术偏离表</w:t>
      </w:r>
    </w:p>
    <w:p>
      <w:pPr>
        <w:spacing w:line="360" w:lineRule="auto"/>
        <w:ind w:firstLine="360" w:firstLineChars="150"/>
        <w:rPr>
          <w:sz w:val="24"/>
          <w:szCs w:val="24"/>
        </w:rPr>
      </w:pPr>
      <w:bookmarkStart w:id="18" w:name="OLE_LINK55"/>
      <w:bookmarkStart w:id="19" w:name="OLE_LINK58"/>
      <w:bookmarkStart w:id="20" w:name="OLE_LINK57"/>
      <w:bookmarkStart w:id="21" w:name="OLE_LINK56"/>
      <w:r>
        <w:rPr>
          <w:rFonts w:hint="eastAsia"/>
          <w:sz w:val="24"/>
          <w:szCs w:val="24"/>
        </w:rPr>
        <w:t>项目名称：</w:t>
      </w:r>
    </w:p>
    <w:p>
      <w:pPr>
        <w:spacing w:line="360" w:lineRule="auto"/>
        <w:ind w:firstLine="360" w:firstLineChars="150"/>
        <w:rPr>
          <w:sz w:val="24"/>
          <w:szCs w:val="24"/>
        </w:rPr>
      </w:pPr>
      <w:r>
        <w:rPr>
          <w:rFonts w:hint="eastAsia"/>
          <w:sz w:val="24"/>
          <w:szCs w:val="24"/>
        </w:rPr>
        <w:t>项目编号：</w:t>
      </w:r>
    </w:p>
    <w:p>
      <w:pPr>
        <w:spacing w:line="360" w:lineRule="auto"/>
        <w:ind w:firstLine="360" w:firstLineChars="150"/>
        <w:rPr>
          <w:sz w:val="24"/>
          <w:szCs w:val="24"/>
        </w:rPr>
      </w:pPr>
      <w:r>
        <w:rPr>
          <w:rFonts w:hint="eastAsia"/>
          <w:sz w:val="24"/>
          <w:szCs w:val="24"/>
        </w:rPr>
        <w:t>包号：</w:t>
      </w:r>
    </w:p>
    <w:tbl>
      <w:tblPr>
        <w:tblStyle w:val="6"/>
        <w:tblW w:w="73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2283"/>
        <w:gridCol w:w="1686"/>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843" w:type="dxa"/>
            <w:vAlign w:val="center"/>
          </w:tcPr>
          <w:p>
            <w:pPr>
              <w:tabs>
                <w:tab w:val="left" w:pos="1337"/>
              </w:tabs>
              <w:jc w:val="center"/>
              <w:rPr>
                <w:rFonts w:ascii="宋体" w:hAnsi="宋体"/>
                <w:color w:val="000000"/>
                <w:sz w:val="24"/>
              </w:rPr>
            </w:pPr>
            <w:bookmarkStart w:id="22" w:name="OLE_LINK42"/>
            <w:bookmarkStart w:id="23" w:name="OLE_LINK43"/>
            <w:r>
              <w:rPr>
                <w:rFonts w:hint="eastAsia" w:ascii="宋体" w:hAnsi="宋体"/>
                <w:color w:val="000000"/>
                <w:sz w:val="24"/>
              </w:rPr>
              <w:t>序号</w:t>
            </w:r>
          </w:p>
        </w:tc>
        <w:tc>
          <w:tcPr>
            <w:tcW w:w="2283" w:type="dxa"/>
            <w:vAlign w:val="center"/>
          </w:tcPr>
          <w:p>
            <w:pPr>
              <w:tabs>
                <w:tab w:val="left" w:pos="1337"/>
              </w:tabs>
              <w:jc w:val="center"/>
              <w:rPr>
                <w:rFonts w:ascii="宋体" w:hAnsi="宋体"/>
                <w:color w:val="000000"/>
                <w:sz w:val="24"/>
              </w:rPr>
            </w:pPr>
            <w:r>
              <w:rPr>
                <w:rFonts w:hint="eastAsia" w:ascii="宋体" w:hAnsi="宋体"/>
                <w:color w:val="000000"/>
                <w:sz w:val="24"/>
              </w:rPr>
              <w:t>磋商文件内容</w:t>
            </w:r>
          </w:p>
        </w:tc>
        <w:tc>
          <w:tcPr>
            <w:tcW w:w="1686" w:type="dxa"/>
            <w:vAlign w:val="center"/>
          </w:tcPr>
          <w:p>
            <w:pPr>
              <w:tabs>
                <w:tab w:val="left" w:pos="1337"/>
              </w:tabs>
              <w:rPr>
                <w:rFonts w:ascii="宋体" w:hAnsi="宋体"/>
                <w:color w:val="000000"/>
                <w:sz w:val="24"/>
              </w:rPr>
            </w:pPr>
            <w:r>
              <w:rPr>
                <w:rFonts w:hint="eastAsia" w:ascii="宋体" w:hAnsi="宋体"/>
                <w:color w:val="000000"/>
                <w:sz w:val="24"/>
              </w:rPr>
              <w:t>响应文件内容</w:t>
            </w:r>
          </w:p>
        </w:tc>
        <w:tc>
          <w:tcPr>
            <w:tcW w:w="1578" w:type="dxa"/>
            <w:vAlign w:val="center"/>
          </w:tcPr>
          <w:p>
            <w:pPr>
              <w:tabs>
                <w:tab w:val="left" w:pos="1337"/>
              </w:tabs>
              <w:jc w:val="center"/>
              <w:rPr>
                <w:rFonts w:ascii="宋体" w:hAnsi="宋体"/>
                <w:color w:val="000000"/>
                <w:sz w:val="24"/>
              </w:rPr>
            </w:pPr>
            <w:r>
              <w:rPr>
                <w:rFonts w:hint="eastAsia" w:ascii="宋体" w:hAnsi="宋体"/>
                <w:color w:val="000000"/>
                <w:sz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bookmarkEnd w:id="18"/>
      <w:bookmarkEnd w:id="19"/>
      <w:bookmarkEnd w:id="20"/>
      <w:bookmarkEnd w:id="21"/>
      <w:bookmarkEnd w:id="22"/>
      <w:bookmarkEnd w:id="23"/>
    </w:tbl>
    <w:p>
      <w:pPr>
        <w:pStyle w:val="4"/>
        <w:spacing w:before="156" w:beforeLines="50"/>
        <w:ind w:left="0" w:leftChars="0"/>
        <w:rPr>
          <w:rFonts w:ascii="宋体" w:hAnsi="宋体"/>
          <w:b/>
          <w:color w:val="000000"/>
          <w:sz w:val="24"/>
          <w:szCs w:val="24"/>
        </w:rPr>
      </w:pPr>
      <w:r>
        <w:rPr>
          <w:rFonts w:hint="eastAsia" w:ascii="宋体" w:hAnsi="宋体"/>
          <w:b/>
          <w:color w:val="000000"/>
          <w:sz w:val="24"/>
          <w:szCs w:val="24"/>
        </w:rPr>
        <w:t>注：技术偏离需按照标书技术文件规定逐项列明，无偏离的写明“无”</w:t>
      </w:r>
    </w:p>
    <w:p>
      <w:pPr>
        <w:pStyle w:val="4"/>
        <w:spacing w:before="156" w:beforeLines="50"/>
        <w:ind w:left="0" w:leftChars="0"/>
        <w:rPr>
          <w:rFonts w:ascii="宋体" w:hAnsi="宋体"/>
          <w:color w:val="000000"/>
          <w:sz w:val="24"/>
          <w:szCs w:val="24"/>
        </w:rPr>
      </w:pPr>
      <w:r>
        <w:rPr>
          <w:rFonts w:hint="eastAsia" w:ascii="宋体" w:hAnsi="宋体"/>
          <w:color w:val="000000"/>
          <w:sz w:val="24"/>
          <w:szCs w:val="24"/>
        </w:rPr>
        <w:t xml:space="preserve">供应商名称：（公章）                   </w:t>
      </w:r>
    </w:p>
    <w:p>
      <w:pPr>
        <w:rPr>
          <w:rFonts w:ascii="宋体" w:hAnsi="宋体"/>
          <w:color w:val="000000"/>
          <w:sz w:val="24"/>
        </w:rPr>
      </w:pPr>
      <w:r>
        <w:rPr>
          <w:rFonts w:hint="eastAsia" w:ascii="宋体" w:hAnsi="宋体"/>
          <w:color w:val="000000"/>
          <w:sz w:val="24"/>
          <w:szCs w:val="24"/>
        </w:rPr>
        <w:t xml:space="preserve">法定代表人或授权代理人签字：            </w:t>
      </w:r>
    </w:p>
    <w:p>
      <w:pPr>
        <w:pStyle w:val="2"/>
        <w:spacing w:before="0" w:after="0"/>
        <w:ind w:right="120"/>
        <w:jc w:val="right"/>
        <w:rPr>
          <w:rFonts w:ascii="宋体" w:hAnsi="宋体" w:eastAsia="宋体"/>
          <w:color w:val="000000"/>
          <w:sz w:val="24"/>
        </w:rPr>
      </w:pPr>
      <w:r>
        <w:rPr>
          <w:rFonts w:hint="eastAsia" w:ascii="宋体" w:hAnsi="宋体" w:eastAsia="宋体" w:cs="Times New Roman"/>
          <w:color w:val="000000"/>
          <w:sz w:val="24"/>
          <w:szCs w:val="24"/>
        </w:rPr>
        <w:t>年  月  日</w:t>
      </w:r>
    </w:p>
    <w:p>
      <w:pPr>
        <w:pStyle w:val="2"/>
        <w:spacing w:before="0" w:after="0"/>
        <w:rPr>
          <w:rFonts w:ascii="宋体" w:hAnsi="宋体" w:eastAsia="宋体" w:cs="Times New Roman"/>
          <w:color w:val="000000"/>
          <w:sz w:val="24"/>
          <w:szCs w:val="24"/>
        </w:rPr>
      </w:pPr>
    </w:p>
    <w:p/>
    <w:p/>
    <w:p/>
    <w:p/>
    <w:p/>
    <w:p/>
    <w:p>
      <w:pPr>
        <w:pStyle w:val="2"/>
        <w:spacing w:before="0" w:after="0"/>
        <w:rPr>
          <w:rFonts w:ascii="宋体" w:hAnsi="宋体" w:eastAsia="宋体"/>
          <w:sz w:val="28"/>
          <w:szCs w:val="28"/>
        </w:rPr>
      </w:pPr>
      <w:r>
        <w:rPr>
          <w:rFonts w:hint="eastAsia" w:ascii="宋体" w:hAnsi="宋体" w:eastAsia="宋体" w:cs="Times New Roman"/>
          <w:color w:val="000000"/>
          <w:sz w:val="28"/>
          <w:szCs w:val="28"/>
        </w:rPr>
        <w:t>附件六</w:t>
      </w:r>
    </w:p>
    <w:p>
      <w:pPr>
        <w:pStyle w:val="2"/>
        <w:spacing w:before="0" w:after="0"/>
        <w:jc w:val="center"/>
        <w:rPr>
          <w:rFonts w:ascii="宋体" w:hAnsi="宋体" w:eastAsia="宋体"/>
          <w:color w:val="000000"/>
        </w:rPr>
      </w:pPr>
      <w:r>
        <w:rPr>
          <w:rFonts w:hint="eastAsia" w:ascii="宋体" w:hAnsi="宋体" w:eastAsia="宋体" w:cs="Times New Roman"/>
          <w:b/>
          <w:color w:val="000000"/>
          <w:sz w:val="32"/>
          <w:szCs w:val="32"/>
        </w:rPr>
        <w:t>商务偏离表</w:t>
      </w:r>
    </w:p>
    <w:p>
      <w:pPr>
        <w:spacing w:line="360" w:lineRule="auto"/>
        <w:ind w:firstLine="360" w:firstLineChars="150"/>
        <w:rPr>
          <w:sz w:val="24"/>
          <w:szCs w:val="24"/>
        </w:rPr>
      </w:pPr>
      <w:r>
        <w:rPr>
          <w:rFonts w:hint="eastAsia"/>
          <w:sz w:val="24"/>
          <w:szCs w:val="24"/>
        </w:rPr>
        <w:t>项目名称：</w:t>
      </w:r>
    </w:p>
    <w:p>
      <w:pPr>
        <w:spacing w:line="360" w:lineRule="auto"/>
        <w:ind w:firstLine="360" w:firstLineChars="150"/>
        <w:rPr>
          <w:sz w:val="24"/>
          <w:szCs w:val="24"/>
        </w:rPr>
      </w:pPr>
      <w:r>
        <w:rPr>
          <w:rFonts w:hint="eastAsia"/>
          <w:sz w:val="24"/>
          <w:szCs w:val="24"/>
        </w:rPr>
        <w:t>项目编号：</w:t>
      </w:r>
    </w:p>
    <w:p>
      <w:pPr>
        <w:spacing w:line="360" w:lineRule="auto"/>
        <w:ind w:firstLine="360" w:firstLineChars="150"/>
        <w:rPr>
          <w:sz w:val="24"/>
          <w:szCs w:val="24"/>
        </w:rPr>
      </w:pPr>
      <w:r>
        <w:rPr>
          <w:rFonts w:hint="eastAsia"/>
          <w:sz w:val="24"/>
          <w:szCs w:val="24"/>
        </w:rPr>
        <w:t>包号：</w:t>
      </w:r>
    </w:p>
    <w:tbl>
      <w:tblPr>
        <w:tblStyle w:val="6"/>
        <w:tblW w:w="73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2283"/>
        <w:gridCol w:w="1686"/>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843" w:type="dxa"/>
            <w:vAlign w:val="center"/>
          </w:tcPr>
          <w:p>
            <w:pPr>
              <w:tabs>
                <w:tab w:val="left" w:pos="1337"/>
              </w:tabs>
              <w:jc w:val="center"/>
              <w:rPr>
                <w:rFonts w:ascii="宋体" w:hAnsi="宋体"/>
                <w:color w:val="000000"/>
                <w:sz w:val="24"/>
              </w:rPr>
            </w:pPr>
            <w:r>
              <w:rPr>
                <w:rFonts w:hint="eastAsia" w:ascii="宋体" w:hAnsi="宋体"/>
                <w:color w:val="000000"/>
                <w:sz w:val="24"/>
              </w:rPr>
              <w:t>序号</w:t>
            </w:r>
          </w:p>
        </w:tc>
        <w:tc>
          <w:tcPr>
            <w:tcW w:w="2283" w:type="dxa"/>
            <w:vAlign w:val="center"/>
          </w:tcPr>
          <w:p>
            <w:pPr>
              <w:tabs>
                <w:tab w:val="left" w:pos="1337"/>
              </w:tabs>
              <w:jc w:val="center"/>
              <w:rPr>
                <w:rFonts w:ascii="宋体" w:hAnsi="宋体"/>
                <w:color w:val="000000"/>
                <w:sz w:val="24"/>
              </w:rPr>
            </w:pPr>
            <w:r>
              <w:rPr>
                <w:rFonts w:hint="eastAsia" w:ascii="宋体" w:hAnsi="宋体"/>
                <w:color w:val="000000"/>
                <w:sz w:val="24"/>
              </w:rPr>
              <w:t>磋商文件内容</w:t>
            </w:r>
          </w:p>
        </w:tc>
        <w:tc>
          <w:tcPr>
            <w:tcW w:w="1686" w:type="dxa"/>
            <w:vAlign w:val="center"/>
          </w:tcPr>
          <w:p>
            <w:pPr>
              <w:tabs>
                <w:tab w:val="left" w:pos="1337"/>
              </w:tabs>
              <w:rPr>
                <w:rFonts w:ascii="宋体" w:hAnsi="宋体"/>
                <w:color w:val="000000"/>
                <w:sz w:val="24"/>
              </w:rPr>
            </w:pPr>
            <w:r>
              <w:rPr>
                <w:rFonts w:hint="eastAsia" w:ascii="宋体" w:hAnsi="宋体"/>
                <w:color w:val="000000"/>
                <w:sz w:val="24"/>
              </w:rPr>
              <w:t>响应文件内容</w:t>
            </w:r>
          </w:p>
        </w:tc>
        <w:tc>
          <w:tcPr>
            <w:tcW w:w="1578" w:type="dxa"/>
            <w:vAlign w:val="center"/>
          </w:tcPr>
          <w:p>
            <w:pPr>
              <w:tabs>
                <w:tab w:val="left" w:pos="1337"/>
              </w:tabs>
              <w:jc w:val="center"/>
              <w:rPr>
                <w:rFonts w:ascii="宋体" w:hAnsi="宋体"/>
                <w:color w:val="000000"/>
                <w:sz w:val="24"/>
              </w:rPr>
            </w:pPr>
            <w:r>
              <w:rPr>
                <w:rFonts w:hint="eastAsia" w:ascii="宋体" w:hAnsi="宋体"/>
                <w:color w:val="000000"/>
                <w:sz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bl>
    <w:p>
      <w:pPr>
        <w:pStyle w:val="4"/>
        <w:spacing w:before="156" w:beforeLines="50"/>
        <w:ind w:left="0" w:leftChars="0"/>
        <w:rPr>
          <w:rFonts w:ascii="宋体" w:hAnsi="宋体"/>
          <w:b/>
          <w:color w:val="000000"/>
          <w:sz w:val="24"/>
          <w:szCs w:val="24"/>
        </w:rPr>
      </w:pPr>
      <w:r>
        <w:rPr>
          <w:rFonts w:hint="eastAsia" w:ascii="宋体" w:hAnsi="宋体"/>
          <w:b/>
          <w:color w:val="000000"/>
          <w:sz w:val="24"/>
          <w:szCs w:val="24"/>
        </w:rPr>
        <w:t>注：商务偏离需按照标书商务条款规定逐项列明，无偏离的写明“无”</w:t>
      </w:r>
    </w:p>
    <w:p/>
    <w:p>
      <w:pPr>
        <w:pStyle w:val="4"/>
        <w:spacing w:before="156" w:beforeLines="50"/>
        <w:ind w:left="0" w:leftChars="0"/>
        <w:rPr>
          <w:rFonts w:ascii="宋体" w:hAnsi="宋体"/>
          <w:color w:val="000000"/>
          <w:sz w:val="24"/>
          <w:szCs w:val="24"/>
        </w:rPr>
      </w:pPr>
      <w:r>
        <w:rPr>
          <w:rFonts w:hint="eastAsia" w:ascii="宋体" w:hAnsi="宋体"/>
          <w:color w:val="000000"/>
          <w:sz w:val="24"/>
          <w:szCs w:val="24"/>
        </w:rPr>
        <w:t xml:space="preserve">供应商名称：（公章）                   </w:t>
      </w:r>
    </w:p>
    <w:p>
      <w:pPr>
        <w:rPr>
          <w:rFonts w:ascii="宋体" w:hAnsi="宋体"/>
          <w:color w:val="000000"/>
          <w:sz w:val="24"/>
          <w:szCs w:val="24"/>
        </w:rPr>
      </w:pPr>
      <w:r>
        <w:rPr>
          <w:rFonts w:hint="eastAsia" w:ascii="宋体" w:hAnsi="宋体"/>
          <w:color w:val="000000"/>
          <w:sz w:val="24"/>
          <w:szCs w:val="24"/>
        </w:rPr>
        <w:t xml:space="preserve">法定代表人或授权代理人签字：            </w:t>
      </w:r>
    </w:p>
    <w:p>
      <w:pPr>
        <w:rPr>
          <w:rFonts w:ascii="宋体" w:hAnsi="宋体"/>
          <w:color w:val="000000"/>
          <w:sz w:val="24"/>
          <w:szCs w:val="24"/>
        </w:rPr>
      </w:pPr>
    </w:p>
    <w:p>
      <w:pPr>
        <w:rPr>
          <w:rFonts w:ascii="宋体" w:hAnsi="宋体"/>
          <w:color w:val="000000"/>
          <w:sz w:val="24"/>
          <w:szCs w:val="24"/>
        </w:rPr>
      </w:pPr>
    </w:p>
    <w:p>
      <w:pPr>
        <w:rPr>
          <w:rFonts w:ascii="宋体" w:hAnsi="宋体"/>
          <w:color w:val="000000"/>
          <w:sz w:val="24"/>
        </w:rPr>
      </w:pPr>
    </w:p>
    <w:p>
      <w:pPr>
        <w:pStyle w:val="2"/>
        <w:spacing w:before="0" w:after="0"/>
        <w:ind w:right="120"/>
        <w:jc w:val="right"/>
        <w:rPr>
          <w:rFonts w:ascii="宋体" w:hAnsi="宋体" w:eastAsia="宋体"/>
          <w:color w:val="000000"/>
          <w:sz w:val="24"/>
        </w:rPr>
      </w:pPr>
      <w:r>
        <w:rPr>
          <w:rFonts w:hint="eastAsia" w:ascii="宋体" w:hAnsi="宋体" w:eastAsia="宋体" w:cs="Times New Roman"/>
          <w:color w:val="000000"/>
          <w:sz w:val="24"/>
          <w:szCs w:val="24"/>
        </w:rPr>
        <w:t>年  月  日</w:t>
      </w:r>
    </w:p>
    <w:p>
      <w:pPr>
        <w:pStyle w:val="2"/>
        <w:spacing w:before="0" w:after="0"/>
        <w:rPr>
          <w:rFonts w:ascii="宋体" w:hAnsi="宋体" w:eastAsia="宋体" w:cs="Times New Roman"/>
          <w:color w:val="000000"/>
          <w:sz w:val="24"/>
          <w:szCs w:val="24"/>
        </w:rPr>
      </w:pPr>
    </w:p>
    <w:p/>
    <w:p/>
    <w:p/>
    <w:p>
      <w:pPr>
        <w:ind w:firstLine="420" w:firstLineChars="150"/>
        <w:jc w:val="left"/>
        <w:rPr>
          <w:sz w:val="28"/>
          <w:szCs w:val="28"/>
        </w:rPr>
      </w:pPr>
      <w:r>
        <w:rPr>
          <w:rFonts w:hint="eastAsia"/>
          <w:sz w:val="28"/>
          <w:szCs w:val="28"/>
        </w:rPr>
        <w:t>附件七</w:t>
      </w:r>
    </w:p>
    <w:p>
      <w:pPr>
        <w:pStyle w:val="10"/>
        <w:ind w:left="720" w:firstLine="562"/>
        <w:jc w:val="center"/>
        <w:rPr>
          <w:b/>
          <w:sz w:val="28"/>
          <w:szCs w:val="28"/>
        </w:rPr>
      </w:pPr>
      <w:r>
        <w:rPr>
          <w:rFonts w:hint="eastAsia"/>
          <w:b/>
          <w:sz w:val="28"/>
          <w:szCs w:val="28"/>
        </w:rPr>
        <w:t>近三年同类业绩一览表</w:t>
      </w:r>
    </w:p>
    <w:p>
      <w:pPr>
        <w:pStyle w:val="10"/>
        <w:ind w:left="720" w:firstLine="562"/>
        <w:jc w:val="center"/>
        <w:rPr>
          <w:b/>
          <w:sz w:val="28"/>
          <w:szCs w:val="28"/>
        </w:rPr>
      </w:pPr>
      <w:r>
        <w:rPr>
          <w:rFonts w:hint="eastAsia"/>
          <w:b/>
          <w:sz w:val="28"/>
          <w:szCs w:val="28"/>
        </w:rPr>
        <w:t>（201</w:t>
      </w:r>
      <w:r>
        <w:rPr>
          <w:rFonts w:hint="eastAsia"/>
          <w:b/>
          <w:sz w:val="28"/>
          <w:szCs w:val="28"/>
          <w:lang w:val="en-US" w:eastAsia="zh-CN"/>
        </w:rPr>
        <w:t>8</w:t>
      </w:r>
      <w:r>
        <w:rPr>
          <w:rFonts w:hint="eastAsia"/>
          <w:b/>
          <w:sz w:val="28"/>
          <w:szCs w:val="28"/>
        </w:rPr>
        <w:t>年</w:t>
      </w:r>
      <w:r>
        <w:rPr>
          <w:rFonts w:hint="eastAsia"/>
          <w:b/>
          <w:sz w:val="28"/>
          <w:szCs w:val="28"/>
          <w:lang w:val="en-US" w:eastAsia="zh-CN"/>
        </w:rPr>
        <w:t>9</w:t>
      </w:r>
      <w:r>
        <w:rPr>
          <w:rFonts w:hint="eastAsia"/>
          <w:b/>
          <w:sz w:val="28"/>
          <w:szCs w:val="28"/>
        </w:rPr>
        <w:t>月1日至今）</w:t>
      </w:r>
    </w:p>
    <w:tbl>
      <w:tblPr>
        <w:tblStyle w:val="7"/>
        <w:tblW w:w="8846"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731"/>
        <w:gridCol w:w="2102"/>
        <w:gridCol w:w="1919"/>
        <w:gridCol w:w="2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jc w:val="center"/>
              <w:rPr>
                <w:sz w:val="28"/>
                <w:szCs w:val="28"/>
              </w:rPr>
            </w:pPr>
            <w:r>
              <w:rPr>
                <w:rFonts w:hint="eastAsia"/>
                <w:sz w:val="28"/>
                <w:szCs w:val="28"/>
              </w:rPr>
              <w:t>序号</w:t>
            </w:r>
          </w:p>
        </w:tc>
        <w:tc>
          <w:tcPr>
            <w:tcW w:w="1731" w:type="dxa"/>
          </w:tcPr>
          <w:p>
            <w:pPr>
              <w:jc w:val="center"/>
              <w:rPr>
                <w:sz w:val="28"/>
                <w:szCs w:val="28"/>
              </w:rPr>
            </w:pPr>
            <w:r>
              <w:rPr>
                <w:rFonts w:hint="eastAsia"/>
                <w:sz w:val="28"/>
                <w:szCs w:val="28"/>
              </w:rPr>
              <w:t>项目内容</w:t>
            </w:r>
          </w:p>
        </w:tc>
        <w:tc>
          <w:tcPr>
            <w:tcW w:w="2102" w:type="dxa"/>
          </w:tcPr>
          <w:p>
            <w:pPr>
              <w:jc w:val="center"/>
              <w:rPr>
                <w:sz w:val="28"/>
                <w:szCs w:val="28"/>
              </w:rPr>
            </w:pPr>
            <w:r>
              <w:rPr>
                <w:rFonts w:hint="eastAsia"/>
                <w:sz w:val="28"/>
                <w:szCs w:val="28"/>
              </w:rPr>
              <w:t>合同签订时间</w:t>
            </w:r>
          </w:p>
        </w:tc>
        <w:tc>
          <w:tcPr>
            <w:tcW w:w="1919" w:type="dxa"/>
          </w:tcPr>
          <w:p>
            <w:pPr>
              <w:jc w:val="center"/>
              <w:rPr>
                <w:sz w:val="28"/>
                <w:szCs w:val="28"/>
              </w:rPr>
            </w:pPr>
            <w:r>
              <w:rPr>
                <w:rFonts w:hint="eastAsia"/>
                <w:sz w:val="28"/>
                <w:szCs w:val="28"/>
              </w:rPr>
              <w:t>完工时间</w:t>
            </w:r>
          </w:p>
        </w:tc>
        <w:tc>
          <w:tcPr>
            <w:tcW w:w="2248" w:type="dxa"/>
          </w:tcPr>
          <w:p>
            <w:pPr>
              <w:jc w:val="center"/>
              <w:rPr>
                <w:sz w:val="28"/>
                <w:szCs w:val="28"/>
              </w:rPr>
            </w:pPr>
            <w:r>
              <w:rPr>
                <w:rFonts w:hint="eastAsia"/>
                <w:sz w:val="28"/>
                <w:szCs w:val="28"/>
              </w:rPr>
              <w:t>合同金额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sz w:val="28"/>
                <w:szCs w:val="28"/>
              </w:rPr>
            </w:pPr>
          </w:p>
        </w:tc>
        <w:tc>
          <w:tcPr>
            <w:tcW w:w="1731" w:type="dxa"/>
          </w:tcPr>
          <w:p>
            <w:pPr>
              <w:rPr>
                <w:sz w:val="28"/>
                <w:szCs w:val="28"/>
              </w:rPr>
            </w:pPr>
          </w:p>
        </w:tc>
        <w:tc>
          <w:tcPr>
            <w:tcW w:w="2102" w:type="dxa"/>
          </w:tcPr>
          <w:p>
            <w:pPr>
              <w:rPr>
                <w:sz w:val="28"/>
                <w:szCs w:val="28"/>
              </w:rPr>
            </w:pPr>
          </w:p>
        </w:tc>
        <w:tc>
          <w:tcPr>
            <w:tcW w:w="1919" w:type="dxa"/>
          </w:tcPr>
          <w:p>
            <w:pPr>
              <w:rPr>
                <w:sz w:val="28"/>
                <w:szCs w:val="28"/>
              </w:rPr>
            </w:pPr>
          </w:p>
        </w:tc>
        <w:tc>
          <w:tcPr>
            <w:tcW w:w="2248"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sz w:val="28"/>
                <w:szCs w:val="28"/>
              </w:rPr>
            </w:pPr>
          </w:p>
        </w:tc>
        <w:tc>
          <w:tcPr>
            <w:tcW w:w="1731" w:type="dxa"/>
          </w:tcPr>
          <w:p>
            <w:pPr>
              <w:rPr>
                <w:sz w:val="28"/>
                <w:szCs w:val="28"/>
              </w:rPr>
            </w:pPr>
          </w:p>
        </w:tc>
        <w:tc>
          <w:tcPr>
            <w:tcW w:w="2102" w:type="dxa"/>
          </w:tcPr>
          <w:p>
            <w:pPr>
              <w:rPr>
                <w:sz w:val="28"/>
                <w:szCs w:val="28"/>
              </w:rPr>
            </w:pPr>
          </w:p>
        </w:tc>
        <w:tc>
          <w:tcPr>
            <w:tcW w:w="1919" w:type="dxa"/>
          </w:tcPr>
          <w:p>
            <w:pPr>
              <w:rPr>
                <w:sz w:val="28"/>
                <w:szCs w:val="28"/>
              </w:rPr>
            </w:pPr>
          </w:p>
        </w:tc>
        <w:tc>
          <w:tcPr>
            <w:tcW w:w="2248"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sz w:val="28"/>
                <w:szCs w:val="28"/>
              </w:rPr>
            </w:pPr>
          </w:p>
        </w:tc>
        <w:tc>
          <w:tcPr>
            <w:tcW w:w="1731" w:type="dxa"/>
          </w:tcPr>
          <w:p>
            <w:pPr>
              <w:rPr>
                <w:sz w:val="28"/>
                <w:szCs w:val="28"/>
              </w:rPr>
            </w:pPr>
          </w:p>
        </w:tc>
        <w:tc>
          <w:tcPr>
            <w:tcW w:w="2102" w:type="dxa"/>
          </w:tcPr>
          <w:p>
            <w:pPr>
              <w:rPr>
                <w:sz w:val="28"/>
                <w:szCs w:val="28"/>
              </w:rPr>
            </w:pPr>
          </w:p>
        </w:tc>
        <w:tc>
          <w:tcPr>
            <w:tcW w:w="1919" w:type="dxa"/>
          </w:tcPr>
          <w:p>
            <w:pPr>
              <w:rPr>
                <w:sz w:val="28"/>
                <w:szCs w:val="28"/>
              </w:rPr>
            </w:pPr>
          </w:p>
        </w:tc>
        <w:tc>
          <w:tcPr>
            <w:tcW w:w="2248"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sz w:val="28"/>
                <w:szCs w:val="28"/>
              </w:rPr>
            </w:pPr>
          </w:p>
        </w:tc>
        <w:tc>
          <w:tcPr>
            <w:tcW w:w="1731" w:type="dxa"/>
          </w:tcPr>
          <w:p>
            <w:pPr>
              <w:rPr>
                <w:sz w:val="28"/>
                <w:szCs w:val="28"/>
              </w:rPr>
            </w:pPr>
          </w:p>
        </w:tc>
        <w:tc>
          <w:tcPr>
            <w:tcW w:w="2102" w:type="dxa"/>
          </w:tcPr>
          <w:p>
            <w:pPr>
              <w:rPr>
                <w:sz w:val="28"/>
                <w:szCs w:val="28"/>
              </w:rPr>
            </w:pPr>
          </w:p>
        </w:tc>
        <w:tc>
          <w:tcPr>
            <w:tcW w:w="1919" w:type="dxa"/>
          </w:tcPr>
          <w:p>
            <w:pPr>
              <w:rPr>
                <w:sz w:val="28"/>
                <w:szCs w:val="28"/>
              </w:rPr>
            </w:pPr>
          </w:p>
        </w:tc>
        <w:tc>
          <w:tcPr>
            <w:tcW w:w="2248"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sz w:val="28"/>
                <w:szCs w:val="28"/>
              </w:rPr>
            </w:pPr>
          </w:p>
        </w:tc>
        <w:tc>
          <w:tcPr>
            <w:tcW w:w="1731" w:type="dxa"/>
          </w:tcPr>
          <w:p>
            <w:pPr>
              <w:rPr>
                <w:sz w:val="28"/>
                <w:szCs w:val="28"/>
              </w:rPr>
            </w:pPr>
          </w:p>
        </w:tc>
        <w:tc>
          <w:tcPr>
            <w:tcW w:w="2102" w:type="dxa"/>
          </w:tcPr>
          <w:p>
            <w:pPr>
              <w:rPr>
                <w:sz w:val="28"/>
                <w:szCs w:val="28"/>
              </w:rPr>
            </w:pPr>
          </w:p>
        </w:tc>
        <w:tc>
          <w:tcPr>
            <w:tcW w:w="1919" w:type="dxa"/>
          </w:tcPr>
          <w:p>
            <w:pPr>
              <w:rPr>
                <w:sz w:val="28"/>
                <w:szCs w:val="28"/>
              </w:rPr>
            </w:pPr>
          </w:p>
        </w:tc>
        <w:tc>
          <w:tcPr>
            <w:tcW w:w="2248"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sz w:val="28"/>
                <w:szCs w:val="28"/>
              </w:rPr>
            </w:pPr>
          </w:p>
        </w:tc>
        <w:tc>
          <w:tcPr>
            <w:tcW w:w="1731" w:type="dxa"/>
          </w:tcPr>
          <w:p>
            <w:pPr>
              <w:rPr>
                <w:sz w:val="28"/>
                <w:szCs w:val="28"/>
              </w:rPr>
            </w:pPr>
          </w:p>
        </w:tc>
        <w:tc>
          <w:tcPr>
            <w:tcW w:w="2102" w:type="dxa"/>
          </w:tcPr>
          <w:p>
            <w:pPr>
              <w:rPr>
                <w:sz w:val="28"/>
                <w:szCs w:val="28"/>
              </w:rPr>
            </w:pPr>
          </w:p>
        </w:tc>
        <w:tc>
          <w:tcPr>
            <w:tcW w:w="1919" w:type="dxa"/>
          </w:tcPr>
          <w:p>
            <w:pPr>
              <w:rPr>
                <w:sz w:val="28"/>
                <w:szCs w:val="28"/>
              </w:rPr>
            </w:pPr>
          </w:p>
        </w:tc>
        <w:tc>
          <w:tcPr>
            <w:tcW w:w="2248"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sz w:val="28"/>
                <w:szCs w:val="28"/>
              </w:rPr>
            </w:pPr>
          </w:p>
        </w:tc>
        <w:tc>
          <w:tcPr>
            <w:tcW w:w="1731" w:type="dxa"/>
          </w:tcPr>
          <w:p>
            <w:pPr>
              <w:rPr>
                <w:sz w:val="28"/>
                <w:szCs w:val="28"/>
              </w:rPr>
            </w:pPr>
          </w:p>
        </w:tc>
        <w:tc>
          <w:tcPr>
            <w:tcW w:w="2102" w:type="dxa"/>
          </w:tcPr>
          <w:p>
            <w:pPr>
              <w:rPr>
                <w:sz w:val="28"/>
                <w:szCs w:val="28"/>
              </w:rPr>
            </w:pPr>
          </w:p>
        </w:tc>
        <w:tc>
          <w:tcPr>
            <w:tcW w:w="1919" w:type="dxa"/>
          </w:tcPr>
          <w:p>
            <w:pPr>
              <w:rPr>
                <w:sz w:val="28"/>
                <w:szCs w:val="28"/>
              </w:rPr>
            </w:pPr>
          </w:p>
        </w:tc>
        <w:tc>
          <w:tcPr>
            <w:tcW w:w="2248"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sz w:val="28"/>
                <w:szCs w:val="28"/>
              </w:rPr>
            </w:pPr>
          </w:p>
        </w:tc>
        <w:tc>
          <w:tcPr>
            <w:tcW w:w="1731" w:type="dxa"/>
          </w:tcPr>
          <w:p>
            <w:pPr>
              <w:rPr>
                <w:sz w:val="28"/>
                <w:szCs w:val="28"/>
              </w:rPr>
            </w:pPr>
          </w:p>
        </w:tc>
        <w:tc>
          <w:tcPr>
            <w:tcW w:w="2102" w:type="dxa"/>
          </w:tcPr>
          <w:p>
            <w:pPr>
              <w:rPr>
                <w:sz w:val="28"/>
                <w:szCs w:val="28"/>
              </w:rPr>
            </w:pPr>
          </w:p>
        </w:tc>
        <w:tc>
          <w:tcPr>
            <w:tcW w:w="1919" w:type="dxa"/>
          </w:tcPr>
          <w:p>
            <w:pPr>
              <w:rPr>
                <w:sz w:val="28"/>
                <w:szCs w:val="28"/>
              </w:rPr>
            </w:pPr>
          </w:p>
        </w:tc>
        <w:tc>
          <w:tcPr>
            <w:tcW w:w="2248" w:type="dxa"/>
          </w:tcPr>
          <w:p>
            <w:pPr>
              <w:rPr>
                <w:sz w:val="28"/>
                <w:szCs w:val="28"/>
              </w:rPr>
            </w:pPr>
          </w:p>
        </w:tc>
      </w:tr>
    </w:tbl>
    <w:p>
      <w:pPr>
        <w:spacing w:line="353" w:lineRule="exact"/>
        <w:ind w:firstLine="240"/>
        <w:rPr>
          <w:rFonts w:ascii="宋体" w:hAnsi="宋体" w:eastAsia="宋体"/>
          <w:b/>
          <w:color w:val="auto"/>
          <w:sz w:val="24"/>
        </w:rPr>
      </w:pPr>
      <w:r>
        <w:rPr>
          <w:rFonts w:ascii="宋体" w:hAnsi="宋体" w:eastAsia="宋体"/>
          <w:b/>
          <w:sz w:val="24"/>
        </w:rPr>
        <w:t>注：近</w:t>
      </w:r>
      <w:r>
        <w:rPr>
          <w:rFonts w:hint="eastAsia" w:ascii="宋体" w:hAnsi="宋体" w:eastAsia="宋体"/>
          <w:b/>
          <w:sz w:val="24"/>
        </w:rPr>
        <w:t>三</w:t>
      </w:r>
      <w:r>
        <w:rPr>
          <w:rFonts w:ascii="宋体" w:hAnsi="宋体" w:eastAsia="宋体"/>
          <w:b/>
          <w:sz w:val="24"/>
        </w:rPr>
        <w:t>年</w:t>
      </w:r>
      <w:r>
        <w:rPr>
          <w:rFonts w:hint="eastAsia" w:ascii="宋体" w:hAnsi="宋体" w:eastAsia="宋体"/>
          <w:b/>
          <w:sz w:val="24"/>
        </w:rPr>
        <w:t>类似项目业绩，需提供合同复印件（正文部分不得覆盖），</w:t>
      </w:r>
      <w:r>
        <w:rPr>
          <w:rFonts w:hint="eastAsia" w:ascii="宋体" w:hAnsi="宋体" w:eastAsia="宋体"/>
          <w:b/>
          <w:color w:val="auto"/>
          <w:sz w:val="24"/>
        </w:rPr>
        <w:t>开标时提交原件备查</w:t>
      </w:r>
      <w:r>
        <w:rPr>
          <w:rFonts w:hint="eastAsia" w:ascii="宋体" w:hAnsi="宋体" w:eastAsia="宋体"/>
          <w:b/>
          <w:color w:val="auto"/>
          <w:sz w:val="24"/>
          <w:lang w:eastAsia="zh-CN"/>
        </w:rPr>
        <w:t>（</w:t>
      </w:r>
      <w:r>
        <w:rPr>
          <w:rFonts w:hint="eastAsia" w:ascii="宋体" w:hAnsi="宋体" w:eastAsia="宋体"/>
          <w:b/>
          <w:color w:val="auto"/>
          <w:sz w:val="24"/>
          <w:lang w:val="en-US" w:eastAsia="zh-CN"/>
        </w:rPr>
        <w:t>合同、验收报告</w:t>
      </w:r>
      <w:r>
        <w:rPr>
          <w:rFonts w:hint="eastAsia" w:ascii="宋体" w:hAnsi="宋体" w:eastAsia="宋体"/>
          <w:b/>
          <w:color w:val="auto"/>
          <w:sz w:val="24"/>
          <w:lang w:eastAsia="zh-CN"/>
        </w:rPr>
        <w:t>）</w:t>
      </w:r>
      <w:r>
        <w:rPr>
          <w:rFonts w:hint="eastAsia" w:ascii="宋体" w:hAnsi="宋体" w:eastAsia="宋体"/>
          <w:b/>
          <w:color w:val="auto"/>
          <w:sz w:val="24"/>
        </w:rPr>
        <w:t>。</w:t>
      </w:r>
    </w:p>
    <w:p>
      <w:pPr>
        <w:spacing w:line="241" w:lineRule="exact"/>
        <w:rPr>
          <w:rFonts w:ascii="Times New Roman" w:hAnsi="Times New Roman" w:eastAsia="Times New Roman"/>
        </w:rPr>
      </w:pPr>
    </w:p>
    <w:p>
      <w:pPr>
        <w:spacing w:line="353" w:lineRule="exact"/>
        <w:ind w:firstLine="240"/>
        <w:rPr>
          <w:rFonts w:ascii="宋体" w:hAnsi="宋体" w:eastAsia="宋体"/>
          <w:b/>
          <w:sz w:val="24"/>
        </w:rPr>
      </w:pPr>
    </w:p>
    <w:p>
      <w:pPr>
        <w:spacing w:line="241" w:lineRule="exact"/>
        <w:rPr>
          <w:rFonts w:ascii="Times New Roman" w:hAnsi="Times New Roman" w:eastAsia="Times New Roman"/>
        </w:rPr>
      </w:pPr>
    </w:p>
    <w:p>
      <w:pPr>
        <w:spacing w:line="200" w:lineRule="exact"/>
        <w:rPr>
          <w:rFonts w:ascii="Times New Roman" w:hAnsi="Times New Roman" w:eastAsia="Times New Roman"/>
        </w:rPr>
      </w:pPr>
    </w:p>
    <w:p>
      <w:pPr>
        <w:ind w:firstLine="420" w:firstLineChars="150"/>
        <w:rPr>
          <w:sz w:val="28"/>
          <w:szCs w:val="28"/>
        </w:rPr>
      </w:pPr>
    </w:p>
    <w:p>
      <w:pPr>
        <w:ind w:firstLine="420" w:firstLineChars="150"/>
        <w:rPr>
          <w:sz w:val="28"/>
          <w:szCs w:val="28"/>
        </w:rPr>
      </w:pPr>
      <w:r>
        <w:rPr>
          <w:rFonts w:hint="eastAsia"/>
          <w:sz w:val="28"/>
          <w:szCs w:val="28"/>
        </w:rPr>
        <w:t>供应商名称（公章）：</w:t>
      </w:r>
    </w:p>
    <w:p>
      <w:pPr>
        <w:ind w:firstLine="420" w:firstLineChars="150"/>
        <w:rPr>
          <w:sz w:val="28"/>
          <w:szCs w:val="28"/>
        </w:rPr>
      </w:pPr>
      <w:r>
        <w:rPr>
          <w:rFonts w:hint="eastAsia"/>
          <w:sz w:val="28"/>
          <w:szCs w:val="28"/>
        </w:rPr>
        <w:t>法定代表人或授权代理人签字：</w:t>
      </w:r>
    </w:p>
    <w:p>
      <w:pPr>
        <w:ind w:firstLine="420" w:firstLineChars="150"/>
        <w:rPr>
          <w:sz w:val="28"/>
          <w:szCs w:val="28"/>
        </w:rPr>
      </w:pPr>
    </w:p>
    <w:p>
      <w:pPr>
        <w:ind w:right="560" w:firstLine="420" w:firstLineChars="150"/>
        <w:jc w:val="center"/>
        <w:rPr>
          <w:sz w:val="28"/>
          <w:szCs w:val="28"/>
        </w:rPr>
      </w:pPr>
      <w:r>
        <w:rPr>
          <w:rFonts w:hint="eastAsia"/>
          <w:sz w:val="28"/>
          <w:szCs w:val="28"/>
        </w:rPr>
        <w:t>年月日</w:t>
      </w:r>
    </w:p>
    <w:p>
      <w:pPr>
        <w:pStyle w:val="10"/>
        <w:ind w:left="720" w:firstLine="560"/>
        <w:rPr>
          <w:sz w:val="28"/>
          <w:szCs w:val="28"/>
        </w:rPr>
      </w:pPr>
    </w:p>
    <w:p>
      <w:pPr>
        <w:pStyle w:val="10"/>
        <w:ind w:left="0" w:leftChars="0" w:firstLine="0" w:firstLineChars="0"/>
        <w:rPr>
          <w:sz w:val="28"/>
          <w:szCs w:val="28"/>
        </w:rPr>
      </w:pPr>
    </w:p>
    <w:p>
      <w:pPr>
        <w:ind w:firstLine="420" w:firstLineChars="150"/>
        <w:rPr>
          <w:sz w:val="28"/>
          <w:szCs w:val="28"/>
        </w:rPr>
      </w:pPr>
      <w:r>
        <w:rPr>
          <w:rFonts w:hint="eastAsia"/>
          <w:sz w:val="28"/>
          <w:szCs w:val="28"/>
        </w:rPr>
        <w:t>附件八</w:t>
      </w:r>
    </w:p>
    <w:p>
      <w:pPr>
        <w:pStyle w:val="10"/>
        <w:ind w:left="720" w:firstLine="562"/>
        <w:jc w:val="center"/>
        <w:rPr>
          <w:b/>
          <w:sz w:val="28"/>
          <w:szCs w:val="28"/>
        </w:rPr>
      </w:pPr>
      <w:r>
        <w:rPr>
          <w:rFonts w:hint="eastAsia"/>
          <w:b/>
          <w:sz w:val="28"/>
          <w:szCs w:val="28"/>
        </w:rPr>
        <w:t>无违规违法声明</w:t>
      </w:r>
    </w:p>
    <w:p>
      <w:pPr>
        <w:pStyle w:val="10"/>
        <w:ind w:left="720" w:firstLine="560"/>
        <w:rPr>
          <w:sz w:val="28"/>
          <w:szCs w:val="28"/>
        </w:rPr>
      </w:pPr>
    </w:p>
    <w:p>
      <w:pPr>
        <w:ind w:firstLine="560" w:firstLineChars="200"/>
        <w:rPr>
          <w:sz w:val="28"/>
          <w:szCs w:val="28"/>
        </w:rPr>
      </w:pPr>
      <w:r>
        <w:rPr>
          <w:rFonts w:hint="eastAsia"/>
          <w:sz w:val="28"/>
          <w:szCs w:val="28"/>
        </w:rPr>
        <w:t>（采购人）：</w:t>
      </w:r>
    </w:p>
    <w:p>
      <w:pPr>
        <w:pStyle w:val="10"/>
        <w:ind w:left="720" w:firstLine="560"/>
        <w:rPr>
          <w:sz w:val="28"/>
          <w:szCs w:val="28"/>
        </w:rPr>
      </w:pPr>
      <w:r>
        <w:rPr>
          <w:rFonts w:hint="eastAsia"/>
          <w:sz w:val="28"/>
          <w:szCs w:val="28"/>
        </w:rPr>
        <w:t>我公司承诺参加本次招标采购活动 3年内在经营活动中没有重大违法记录。</w:t>
      </w:r>
    </w:p>
    <w:p>
      <w:pPr>
        <w:pStyle w:val="10"/>
        <w:ind w:left="720" w:firstLine="560"/>
        <w:rPr>
          <w:sz w:val="28"/>
          <w:szCs w:val="28"/>
        </w:rPr>
      </w:pPr>
      <w:r>
        <w:rPr>
          <w:rFonts w:hint="eastAsia"/>
          <w:sz w:val="28"/>
          <w:szCs w:val="28"/>
        </w:rPr>
        <w:t>特此声明。</w:t>
      </w:r>
    </w:p>
    <w:p>
      <w:pPr>
        <w:pStyle w:val="10"/>
        <w:ind w:left="720" w:firstLine="560"/>
        <w:rPr>
          <w:sz w:val="28"/>
          <w:szCs w:val="28"/>
        </w:rPr>
      </w:pPr>
      <w:r>
        <w:rPr>
          <w:rFonts w:hint="eastAsia"/>
          <w:sz w:val="28"/>
          <w:szCs w:val="28"/>
        </w:rPr>
        <w:t>如果以上声明不真实，我方承担虚假响应的责任，中标无效，并按法律、法规的规定接受处罚。</w:t>
      </w:r>
    </w:p>
    <w:p>
      <w:pPr>
        <w:pStyle w:val="10"/>
        <w:ind w:left="720" w:firstLine="560"/>
        <w:rPr>
          <w:sz w:val="28"/>
          <w:szCs w:val="28"/>
        </w:rPr>
      </w:pPr>
    </w:p>
    <w:p>
      <w:pPr>
        <w:pStyle w:val="10"/>
        <w:ind w:left="720" w:firstLine="560"/>
        <w:rPr>
          <w:sz w:val="28"/>
          <w:szCs w:val="28"/>
        </w:rPr>
      </w:pPr>
      <w:r>
        <w:rPr>
          <w:rFonts w:hint="eastAsia"/>
          <w:sz w:val="28"/>
          <w:szCs w:val="28"/>
        </w:rPr>
        <w:t>供应商名称：（公章）</w:t>
      </w:r>
    </w:p>
    <w:p>
      <w:pPr>
        <w:pStyle w:val="10"/>
        <w:ind w:left="720" w:firstLine="560"/>
        <w:rPr>
          <w:sz w:val="28"/>
          <w:szCs w:val="28"/>
        </w:rPr>
      </w:pPr>
    </w:p>
    <w:p>
      <w:pPr>
        <w:pStyle w:val="10"/>
        <w:ind w:left="720" w:leftChars="343" w:firstLine="4480" w:firstLineChars="1600"/>
        <w:rPr>
          <w:sz w:val="28"/>
          <w:szCs w:val="28"/>
        </w:rPr>
      </w:pPr>
      <w:r>
        <w:rPr>
          <w:rFonts w:hint="eastAsia"/>
          <w:sz w:val="28"/>
          <w:szCs w:val="28"/>
        </w:rPr>
        <w:t>年</w:t>
      </w:r>
      <w:r>
        <w:rPr>
          <w:rFonts w:hint="eastAsia"/>
          <w:sz w:val="28"/>
          <w:szCs w:val="28"/>
        </w:rPr>
        <w:tab/>
      </w:r>
      <w:r>
        <w:rPr>
          <w:rFonts w:hint="eastAsia"/>
          <w:sz w:val="28"/>
          <w:szCs w:val="28"/>
        </w:rPr>
        <w:t>月</w:t>
      </w:r>
      <w:r>
        <w:rPr>
          <w:rFonts w:hint="eastAsia"/>
          <w:sz w:val="28"/>
          <w:szCs w:val="28"/>
        </w:rPr>
        <w:tab/>
      </w:r>
      <w:r>
        <w:rPr>
          <w:rFonts w:hint="eastAsia"/>
          <w:sz w:val="28"/>
          <w:szCs w:val="28"/>
        </w:rPr>
        <w:t>日</w:t>
      </w:r>
    </w:p>
    <w:p>
      <w:pPr>
        <w:pStyle w:val="10"/>
        <w:ind w:left="720" w:firstLine="560"/>
        <w:rPr>
          <w:sz w:val="28"/>
          <w:szCs w:val="28"/>
        </w:rPr>
      </w:pPr>
    </w:p>
    <w:p>
      <w:pPr>
        <w:pStyle w:val="10"/>
        <w:ind w:left="720" w:firstLine="560"/>
        <w:rPr>
          <w:sz w:val="28"/>
          <w:szCs w:val="28"/>
        </w:rPr>
      </w:pPr>
    </w:p>
    <w:p>
      <w:pPr>
        <w:pStyle w:val="10"/>
        <w:ind w:left="720" w:firstLine="560"/>
        <w:rPr>
          <w:sz w:val="28"/>
          <w:szCs w:val="28"/>
        </w:rPr>
      </w:pPr>
    </w:p>
    <w:p>
      <w:pPr>
        <w:pStyle w:val="10"/>
        <w:ind w:left="720" w:firstLine="560"/>
        <w:rPr>
          <w:sz w:val="28"/>
          <w:szCs w:val="28"/>
        </w:rPr>
      </w:pPr>
    </w:p>
    <w:p>
      <w:pPr>
        <w:pStyle w:val="10"/>
        <w:ind w:left="720" w:firstLine="560"/>
        <w:rPr>
          <w:sz w:val="28"/>
          <w:szCs w:val="28"/>
        </w:rPr>
      </w:pPr>
    </w:p>
    <w:p>
      <w:pPr>
        <w:pStyle w:val="10"/>
        <w:ind w:left="720" w:firstLine="560"/>
        <w:rPr>
          <w:sz w:val="28"/>
          <w:szCs w:val="28"/>
        </w:rPr>
      </w:pPr>
    </w:p>
    <w:p>
      <w:pPr>
        <w:pStyle w:val="10"/>
        <w:ind w:left="720" w:firstLine="560"/>
        <w:rPr>
          <w:sz w:val="28"/>
          <w:szCs w:val="28"/>
        </w:rPr>
      </w:pPr>
    </w:p>
    <w:p>
      <w:pPr>
        <w:pStyle w:val="10"/>
        <w:ind w:left="720" w:firstLine="560"/>
        <w:rPr>
          <w:sz w:val="28"/>
          <w:szCs w:val="28"/>
        </w:rPr>
      </w:pPr>
    </w:p>
    <w:p>
      <w:pPr>
        <w:pStyle w:val="10"/>
        <w:ind w:left="0" w:leftChars="0" w:firstLine="0" w:firstLineChars="0"/>
        <w:rPr>
          <w:sz w:val="28"/>
          <w:szCs w:val="28"/>
        </w:rPr>
      </w:pPr>
    </w:p>
    <w:p>
      <w:pPr>
        <w:ind w:firstLine="420" w:firstLineChars="150"/>
        <w:jc w:val="left"/>
        <w:rPr>
          <w:sz w:val="28"/>
          <w:szCs w:val="28"/>
        </w:rPr>
      </w:pPr>
      <w:r>
        <w:rPr>
          <w:rFonts w:hint="eastAsia"/>
          <w:sz w:val="28"/>
          <w:szCs w:val="28"/>
        </w:rPr>
        <w:t>附件九</w:t>
      </w:r>
    </w:p>
    <w:p>
      <w:pPr>
        <w:ind w:firstLine="420" w:firstLineChars="150"/>
        <w:jc w:val="left"/>
        <w:rPr>
          <w:sz w:val="28"/>
          <w:szCs w:val="28"/>
        </w:rPr>
      </w:pPr>
    </w:p>
    <w:p>
      <w:pPr>
        <w:pStyle w:val="10"/>
        <w:ind w:left="720" w:firstLine="562"/>
        <w:rPr>
          <w:b/>
          <w:sz w:val="28"/>
          <w:szCs w:val="28"/>
        </w:rPr>
      </w:pPr>
      <w:r>
        <w:rPr>
          <w:rFonts w:hint="eastAsia"/>
          <w:b/>
          <w:sz w:val="28"/>
          <w:szCs w:val="28"/>
        </w:rPr>
        <w:t>无不良信用记录承诺函（投标人自行查询适用）</w:t>
      </w:r>
    </w:p>
    <w:p>
      <w:pPr>
        <w:ind w:firstLine="420" w:firstLineChars="150"/>
        <w:rPr>
          <w:sz w:val="28"/>
          <w:szCs w:val="28"/>
        </w:rPr>
      </w:pPr>
      <w:r>
        <w:rPr>
          <w:rFonts w:hint="eastAsia"/>
          <w:sz w:val="28"/>
          <w:szCs w:val="28"/>
        </w:rPr>
        <w:t>（采购人）：</w:t>
      </w:r>
    </w:p>
    <w:p>
      <w:pPr>
        <w:pStyle w:val="10"/>
        <w:ind w:left="720" w:firstLine="560"/>
        <w:rPr>
          <w:sz w:val="28"/>
          <w:szCs w:val="28"/>
        </w:rPr>
      </w:pPr>
      <w:r>
        <w:rPr>
          <w:rFonts w:hint="eastAsia"/>
          <w:sz w:val="28"/>
          <w:szCs w:val="28"/>
        </w:rPr>
        <w:t>本单位郑重承诺，我单位无以下不良信用记录情形：</w:t>
      </w:r>
    </w:p>
    <w:p>
      <w:pPr>
        <w:pStyle w:val="10"/>
        <w:ind w:left="720" w:firstLine="560"/>
        <w:rPr>
          <w:sz w:val="28"/>
          <w:szCs w:val="28"/>
        </w:rPr>
      </w:pPr>
      <w:r>
        <w:rPr>
          <w:rFonts w:hint="eastAsia"/>
          <w:sz w:val="28"/>
          <w:szCs w:val="28"/>
        </w:rPr>
        <w:t>1、被人民法院列入失信被执行人；</w:t>
      </w:r>
    </w:p>
    <w:p>
      <w:pPr>
        <w:pStyle w:val="10"/>
        <w:ind w:left="720" w:firstLine="560"/>
        <w:rPr>
          <w:sz w:val="28"/>
          <w:szCs w:val="28"/>
        </w:rPr>
      </w:pPr>
      <w:r>
        <w:rPr>
          <w:rFonts w:hint="eastAsia"/>
          <w:sz w:val="28"/>
          <w:szCs w:val="28"/>
        </w:rPr>
        <w:t>2、被税务部门列入重大税收违法案件当事人名单；</w:t>
      </w:r>
    </w:p>
    <w:p>
      <w:pPr>
        <w:pStyle w:val="10"/>
        <w:ind w:left="720" w:firstLine="560"/>
        <w:rPr>
          <w:sz w:val="28"/>
          <w:szCs w:val="28"/>
        </w:rPr>
      </w:pPr>
      <w:r>
        <w:rPr>
          <w:rFonts w:hint="eastAsia"/>
          <w:sz w:val="28"/>
          <w:szCs w:val="28"/>
        </w:rPr>
        <w:t>3、被政府采购监管部门列入政府采购严重违法失信行为记录名单；</w:t>
      </w:r>
    </w:p>
    <w:p>
      <w:pPr>
        <w:pStyle w:val="10"/>
        <w:ind w:left="720" w:firstLine="560"/>
        <w:rPr>
          <w:sz w:val="28"/>
          <w:szCs w:val="28"/>
        </w:rPr>
      </w:pPr>
      <w:r>
        <w:rPr>
          <w:rFonts w:hint="eastAsia"/>
          <w:sz w:val="28"/>
          <w:szCs w:val="28"/>
        </w:rPr>
        <w:t>4、不符合政府采购法第二十二条规定的条件。</w:t>
      </w:r>
    </w:p>
    <w:p>
      <w:pPr>
        <w:pStyle w:val="10"/>
        <w:ind w:left="720" w:firstLine="560"/>
        <w:rPr>
          <w:sz w:val="28"/>
          <w:szCs w:val="28"/>
        </w:rPr>
      </w:pPr>
      <w:r>
        <w:rPr>
          <w:rFonts w:hint="eastAsia"/>
          <w:sz w:val="28"/>
          <w:szCs w:val="28"/>
        </w:rPr>
        <w:t>我单位已就上述不良信用行为按照招标文件规定进行了查询。我单位承诺：合同签订前，若我单位具有不良信用记录情形，贵方可取消我单位中标资格或者不授予合同，所有责任由我单位自行承担。同时，我单位愿意无条件接受监管部门的调查处理。</w:t>
      </w:r>
    </w:p>
    <w:p>
      <w:pPr>
        <w:pStyle w:val="10"/>
        <w:ind w:left="720" w:firstLine="560"/>
        <w:rPr>
          <w:sz w:val="28"/>
          <w:szCs w:val="28"/>
        </w:rPr>
      </w:pPr>
      <w:r>
        <w:rPr>
          <w:rFonts w:hint="eastAsia"/>
          <w:sz w:val="28"/>
          <w:szCs w:val="28"/>
        </w:rPr>
        <w:t>供应商名称：（公章）</w:t>
      </w:r>
    </w:p>
    <w:p>
      <w:pPr>
        <w:pStyle w:val="10"/>
        <w:ind w:left="720" w:firstLine="560"/>
        <w:rPr>
          <w:sz w:val="28"/>
          <w:szCs w:val="28"/>
        </w:rPr>
      </w:pPr>
    </w:p>
    <w:p>
      <w:pPr>
        <w:pStyle w:val="10"/>
        <w:ind w:left="720" w:leftChars="343" w:firstLine="4340" w:firstLineChars="1550"/>
        <w:rPr>
          <w:sz w:val="28"/>
          <w:szCs w:val="28"/>
        </w:rPr>
      </w:pPr>
      <w:r>
        <w:rPr>
          <w:rFonts w:hint="eastAsia"/>
          <w:sz w:val="28"/>
          <w:szCs w:val="28"/>
        </w:rPr>
        <w:t>年</w:t>
      </w:r>
      <w:r>
        <w:rPr>
          <w:rFonts w:hint="eastAsia"/>
          <w:sz w:val="28"/>
          <w:szCs w:val="28"/>
        </w:rPr>
        <w:tab/>
      </w:r>
      <w:r>
        <w:rPr>
          <w:rFonts w:hint="eastAsia"/>
          <w:sz w:val="28"/>
          <w:szCs w:val="28"/>
        </w:rPr>
        <w:t>月</w:t>
      </w:r>
      <w:r>
        <w:rPr>
          <w:rFonts w:hint="eastAsia"/>
          <w:sz w:val="28"/>
          <w:szCs w:val="28"/>
        </w:rPr>
        <w:tab/>
      </w:r>
      <w:r>
        <w:rPr>
          <w:rFonts w:hint="eastAsia"/>
          <w:sz w:val="28"/>
          <w:szCs w:val="28"/>
        </w:rPr>
        <w:t>日</w:t>
      </w:r>
    </w:p>
    <w:p>
      <w:pPr>
        <w:pStyle w:val="10"/>
        <w:ind w:left="720" w:firstLine="560"/>
        <w:rPr>
          <w:sz w:val="28"/>
          <w:szCs w:val="28"/>
        </w:rPr>
      </w:pPr>
    </w:p>
    <w:p>
      <w:pPr>
        <w:pStyle w:val="10"/>
        <w:ind w:left="720" w:firstLine="560"/>
        <w:rPr>
          <w:sz w:val="28"/>
          <w:szCs w:val="28"/>
        </w:rPr>
      </w:pPr>
    </w:p>
    <w:p>
      <w:pPr>
        <w:pStyle w:val="10"/>
        <w:ind w:left="720" w:firstLine="560"/>
        <w:rPr>
          <w:sz w:val="28"/>
          <w:szCs w:val="28"/>
        </w:rPr>
      </w:pPr>
    </w:p>
    <w:p>
      <w:pPr>
        <w:ind w:firstLine="419" w:firstLineChars="149"/>
        <w:rPr>
          <w:b/>
          <w:sz w:val="28"/>
          <w:szCs w:val="28"/>
        </w:rPr>
      </w:pPr>
    </w:p>
    <w:p>
      <w:pPr>
        <w:pStyle w:val="4"/>
        <w:ind w:left="0" w:leftChars="0"/>
        <w:rPr>
          <w:rFonts w:ascii="宋体" w:hAnsi="宋体"/>
          <w:b/>
          <w:color w:val="000000"/>
          <w:sz w:val="28"/>
          <w:szCs w:val="28"/>
        </w:rPr>
      </w:pPr>
      <w:r>
        <w:rPr>
          <w:rFonts w:hint="eastAsia" w:ascii="宋体" w:hAnsi="宋体"/>
          <w:color w:val="000000"/>
          <w:sz w:val="28"/>
          <w:szCs w:val="28"/>
        </w:rPr>
        <w:t xml:space="preserve">附件十                        </w:t>
      </w:r>
    </w:p>
    <w:p>
      <w:pPr>
        <w:pStyle w:val="4"/>
        <w:ind w:left="0" w:leftChars="0"/>
        <w:jc w:val="center"/>
        <w:rPr>
          <w:rFonts w:ascii="宋体" w:hAnsi="宋体"/>
          <w:color w:val="000000"/>
        </w:rPr>
      </w:pPr>
      <w:r>
        <w:rPr>
          <w:rFonts w:hint="eastAsia" w:ascii="宋体" w:hAnsi="宋体"/>
          <w:b/>
          <w:color w:val="000000"/>
          <w:sz w:val="32"/>
          <w:szCs w:val="32"/>
        </w:rPr>
        <w:t>封面格式：</w:t>
      </w:r>
    </w:p>
    <w:tbl>
      <w:tblPr>
        <w:tblStyle w:val="6"/>
        <w:tblW w:w="90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5"/>
        <w:gridCol w:w="4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5" w:hRule="atLeast"/>
        </w:trPr>
        <w:tc>
          <w:tcPr>
            <w:tcW w:w="4395" w:type="dxa"/>
          </w:tcPr>
          <w:p>
            <w:pPr>
              <w:pStyle w:val="4"/>
              <w:ind w:firstLine="470"/>
              <w:jc w:val="left"/>
              <w:rPr>
                <w:rFonts w:ascii="宋体" w:hAnsi="宋体"/>
                <w:color w:val="000000"/>
              </w:rPr>
            </w:pPr>
          </w:p>
          <w:p>
            <w:pPr>
              <w:pStyle w:val="4"/>
              <w:ind w:left="0" w:leftChars="0"/>
              <w:jc w:val="center"/>
              <w:rPr>
                <w:rFonts w:ascii="宋体" w:hAnsi="宋体"/>
                <w:b/>
                <w:color w:val="000000"/>
                <w:sz w:val="32"/>
                <w:szCs w:val="32"/>
              </w:rPr>
            </w:pPr>
            <w:r>
              <w:rPr>
                <w:rFonts w:hint="eastAsia" w:ascii="宋体" w:hAnsi="宋体"/>
                <w:b/>
                <w:color w:val="000000"/>
                <w:sz w:val="32"/>
                <w:szCs w:val="32"/>
              </w:rPr>
              <w:t>响应文件</w:t>
            </w:r>
          </w:p>
          <w:p>
            <w:pPr>
              <w:pStyle w:val="4"/>
              <w:ind w:left="0" w:leftChars="0"/>
              <w:jc w:val="center"/>
              <w:rPr>
                <w:rFonts w:ascii="宋体" w:hAnsi="宋体"/>
                <w:b/>
                <w:color w:val="000000"/>
                <w:sz w:val="32"/>
                <w:szCs w:val="32"/>
              </w:rPr>
            </w:pPr>
            <w:r>
              <w:rPr>
                <w:rFonts w:hint="eastAsia" w:ascii="宋体" w:hAnsi="宋体"/>
                <w:b/>
                <w:color w:val="000000"/>
                <w:sz w:val="32"/>
                <w:szCs w:val="32"/>
              </w:rPr>
              <w:t>（正本）</w:t>
            </w:r>
          </w:p>
          <w:p>
            <w:pPr>
              <w:pStyle w:val="4"/>
              <w:ind w:left="0" w:leftChars="0"/>
              <w:jc w:val="left"/>
              <w:rPr>
                <w:rFonts w:ascii="宋体" w:hAnsi="宋体"/>
                <w:color w:val="000000"/>
              </w:rPr>
            </w:pPr>
            <w:r>
              <w:rPr>
                <w:rFonts w:hint="eastAsia" w:ascii="宋体" w:hAnsi="宋体"/>
                <w:color w:val="000000"/>
              </w:rPr>
              <w:t>项目编号：</w:t>
            </w:r>
          </w:p>
          <w:p>
            <w:pPr>
              <w:pStyle w:val="4"/>
              <w:ind w:left="0" w:leftChars="0"/>
              <w:jc w:val="left"/>
              <w:rPr>
                <w:rFonts w:ascii="宋体" w:hAnsi="宋体"/>
                <w:color w:val="000000"/>
              </w:rPr>
            </w:pPr>
            <w:r>
              <w:rPr>
                <w:rFonts w:hint="eastAsia" w:ascii="宋体" w:hAnsi="宋体"/>
                <w:color w:val="000000"/>
              </w:rPr>
              <w:t>项目名称：</w:t>
            </w:r>
          </w:p>
          <w:p>
            <w:pPr>
              <w:pStyle w:val="4"/>
              <w:ind w:left="0" w:leftChars="0"/>
              <w:jc w:val="left"/>
              <w:rPr>
                <w:rFonts w:ascii="宋体" w:hAnsi="宋体"/>
                <w:color w:val="000000"/>
              </w:rPr>
            </w:pPr>
            <w:r>
              <w:rPr>
                <w:rFonts w:hint="eastAsia" w:ascii="宋体" w:hAnsi="宋体"/>
                <w:color w:val="000000"/>
              </w:rPr>
              <w:t>所报包号：</w:t>
            </w:r>
          </w:p>
          <w:p>
            <w:pPr>
              <w:pStyle w:val="4"/>
              <w:ind w:left="0" w:leftChars="0"/>
              <w:jc w:val="left"/>
              <w:rPr>
                <w:rFonts w:ascii="宋体" w:hAnsi="宋体"/>
                <w:color w:val="000000"/>
              </w:rPr>
            </w:pPr>
            <w:r>
              <w:rPr>
                <w:rFonts w:hint="eastAsia" w:ascii="宋体" w:hAnsi="宋体"/>
                <w:color w:val="000000"/>
              </w:rPr>
              <w:t>供应商名称（公章）：</w:t>
            </w:r>
          </w:p>
          <w:p>
            <w:pPr>
              <w:pStyle w:val="4"/>
              <w:ind w:left="0" w:leftChars="0"/>
              <w:jc w:val="left"/>
              <w:rPr>
                <w:rFonts w:ascii="宋体" w:hAnsi="宋体"/>
                <w:color w:val="000000"/>
              </w:rPr>
            </w:pPr>
            <w:r>
              <w:rPr>
                <w:rFonts w:hint="eastAsia" w:ascii="宋体" w:hAnsi="宋体"/>
                <w:color w:val="000000"/>
              </w:rPr>
              <w:t>地址：</w:t>
            </w:r>
          </w:p>
          <w:p>
            <w:pPr>
              <w:pStyle w:val="4"/>
              <w:ind w:left="0" w:leftChars="0"/>
              <w:jc w:val="left"/>
              <w:rPr>
                <w:rFonts w:ascii="宋体" w:hAnsi="宋体"/>
                <w:color w:val="000000"/>
              </w:rPr>
            </w:pPr>
            <w:r>
              <w:rPr>
                <w:rFonts w:hint="eastAsia" w:ascii="宋体" w:hAnsi="宋体"/>
                <w:color w:val="000000"/>
              </w:rPr>
              <w:t>邮编：</w:t>
            </w:r>
          </w:p>
          <w:p>
            <w:pPr>
              <w:pStyle w:val="4"/>
              <w:ind w:left="0" w:leftChars="0"/>
              <w:jc w:val="left"/>
              <w:rPr>
                <w:rFonts w:ascii="宋体" w:hAnsi="宋体"/>
                <w:color w:val="000000"/>
              </w:rPr>
            </w:pPr>
            <w:r>
              <w:rPr>
                <w:rFonts w:hint="eastAsia" w:ascii="宋体" w:hAnsi="宋体"/>
                <w:color w:val="000000"/>
              </w:rPr>
              <w:t>电话：</w:t>
            </w:r>
          </w:p>
          <w:p>
            <w:pPr>
              <w:pStyle w:val="4"/>
              <w:ind w:left="0" w:leftChars="0"/>
              <w:jc w:val="left"/>
              <w:rPr>
                <w:rFonts w:ascii="宋体" w:hAnsi="宋体"/>
                <w:color w:val="000000"/>
              </w:rPr>
            </w:pPr>
            <w:r>
              <w:rPr>
                <w:rFonts w:hint="eastAsia" w:ascii="宋体" w:hAnsi="宋体"/>
                <w:color w:val="000000"/>
              </w:rPr>
              <w:t>传真：</w:t>
            </w:r>
          </w:p>
          <w:p>
            <w:pPr>
              <w:pStyle w:val="4"/>
              <w:ind w:left="1588" w:leftChars="756" w:firstLine="378" w:firstLineChars="180"/>
              <w:jc w:val="left"/>
              <w:rPr>
                <w:rFonts w:ascii="宋体" w:hAnsi="宋体"/>
                <w:color w:val="000000"/>
              </w:rPr>
            </w:pPr>
          </w:p>
        </w:tc>
        <w:tc>
          <w:tcPr>
            <w:tcW w:w="4665" w:type="dxa"/>
          </w:tcPr>
          <w:p>
            <w:pPr>
              <w:pStyle w:val="4"/>
              <w:ind w:firstLine="470"/>
              <w:jc w:val="left"/>
              <w:rPr>
                <w:rFonts w:ascii="宋体" w:hAnsi="宋体"/>
                <w:color w:val="000000"/>
              </w:rPr>
            </w:pPr>
          </w:p>
          <w:p>
            <w:pPr>
              <w:pStyle w:val="4"/>
              <w:ind w:left="0" w:leftChars="0"/>
              <w:jc w:val="center"/>
              <w:rPr>
                <w:rFonts w:ascii="宋体" w:hAnsi="宋体"/>
                <w:b/>
                <w:color w:val="000000"/>
                <w:sz w:val="32"/>
                <w:szCs w:val="32"/>
              </w:rPr>
            </w:pPr>
            <w:r>
              <w:rPr>
                <w:rFonts w:hint="eastAsia" w:ascii="宋体" w:hAnsi="宋体"/>
                <w:b/>
                <w:color w:val="000000"/>
                <w:sz w:val="32"/>
                <w:szCs w:val="32"/>
              </w:rPr>
              <w:t>响应文件</w:t>
            </w:r>
          </w:p>
          <w:p>
            <w:pPr>
              <w:pStyle w:val="4"/>
              <w:ind w:left="0" w:leftChars="0"/>
              <w:jc w:val="center"/>
              <w:rPr>
                <w:rFonts w:ascii="宋体" w:hAnsi="宋体"/>
                <w:b/>
                <w:color w:val="000000"/>
                <w:sz w:val="32"/>
                <w:szCs w:val="32"/>
              </w:rPr>
            </w:pPr>
            <w:r>
              <w:rPr>
                <w:rFonts w:hint="eastAsia" w:ascii="宋体" w:hAnsi="宋体"/>
                <w:b/>
                <w:color w:val="000000"/>
                <w:sz w:val="32"/>
                <w:szCs w:val="32"/>
              </w:rPr>
              <w:t>（副本）</w:t>
            </w:r>
          </w:p>
          <w:p>
            <w:pPr>
              <w:pStyle w:val="4"/>
              <w:ind w:left="0" w:leftChars="0"/>
              <w:jc w:val="left"/>
              <w:rPr>
                <w:rFonts w:ascii="宋体" w:hAnsi="宋体"/>
                <w:color w:val="000000"/>
              </w:rPr>
            </w:pPr>
            <w:r>
              <w:rPr>
                <w:rFonts w:hint="eastAsia" w:ascii="宋体" w:hAnsi="宋体"/>
                <w:color w:val="000000"/>
              </w:rPr>
              <w:t>项目编号：</w:t>
            </w:r>
          </w:p>
          <w:p>
            <w:pPr>
              <w:pStyle w:val="4"/>
              <w:ind w:left="0" w:leftChars="0"/>
              <w:jc w:val="left"/>
              <w:rPr>
                <w:rFonts w:ascii="宋体" w:hAnsi="宋体"/>
                <w:color w:val="000000"/>
              </w:rPr>
            </w:pPr>
            <w:r>
              <w:rPr>
                <w:rFonts w:hint="eastAsia" w:ascii="宋体" w:hAnsi="宋体"/>
                <w:color w:val="000000"/>
              </w:rPr>
              <w:t>项目名称：</w:t>
            </w:r>
          </w:p>
          <w:p>
            <w:pPr>
              <w:pStyle w:val="4"/>
              <w:ind w:left="0" w:leftChars="0"/>
              <w:jc w:val="left"/>
              <w:rPr>
                <w:rFonts w:ascii="宋体" w:hAnsi="宋体"/>
                <w:color w:val="000000"/>
              </w:rPr>
            </w:pPr>
            <w:r>
              <w:rPr>
                <w:rFonts w:hint="eastAsia" w:ascii="宋体" w:hAnsi="宋体"/>
                <w:color w:val="000000"/>
              </w:rPr>
              <w:t>所报包号：</w:t>
            </w:r>
          </w:p>
          <w:p>
            <w:pPr>
              <w:pStyle w:val="4"/>
              <w:ind w:left="0" w:leftChars="0"/>
              <w:jc w:val="left"/>
              <w:rPr>
                <w:rFonts w:ascii="宋体" w:hAnsi="宋体"/>
                <w:color w:val="000000"/>
              </w:rPr>
            </w:pPr>
            <w:r>
              <w:rPr>
                <w:rFonts w:hint="eastAsia" w:ascii="宋体" w:hAnsi="宋体"/>
                <w:color w:val="000000"/>
              </w:rPr>
              <w:t>供应商名称（公章）：</w:t>
            </w:r>
          </w:p>
          <w:p>
            <w:pPr>
              <w:pStyle w:val="4"/>
              <w:ind w:left="0" w:leftChars="0"/>
              <w:jc w:val="left"/>
              <w:rPr>
                <w:rFonts w:ascii="宋体" w:hAnsi="宋体"/>
                <w:color w:val="000000"/>
              </w:rPr>
            </w:pPr>
            <w:r>
              <w:rPr>
                <w:rFonts w:hint="eastAsia" w:ascii="宋体" w:hAnsi="宋体"/>
                <w:color w:val="000000"/>
              </w:rPr>
              <w:t>地址：</w:t>
            </w:r>
          </w:p>
          <w:p>
            <w:pPr>
              <w:pStyle w:val="4"/>
              <w:ind w:left="0" w:leftChars="0"/>
              <w:jc w:val="left"/>
              <w:rPr>
                <w:rFonts w:ascii="宋体" w:hAnsi="宋体"/>
                <w:color w:val="000000"/>
              </w:rPr>
            </w:pPr>
            <w:r>
              <w:rPr>
                <w:rFonts w:hint="eastAsia" w:ascii="宋体" w:hAnsi="宋体"/>
                <w:color w:val="000000"/>
              </w:rPr>
              <w:t>邮编：</w:t>
            </w:r>
          </w:p>
          <w:p>
            <w:pPr>
              <w:pStyle w:val="4"/>
              <w:ind w:left="0" w:leftChars="0"/>
              <w:jc w:val="left"/>
              <w:rPr>
                <w:rFonts w:ascii="宋体" w:hAnsi="宋体"/>
                <w:color w:val="000000"/>
              </w:rPr>
            </w:pPr>
            <w:r>
              <w:rPr>
                <w:rFonts w:hint="eastAsia" w:ascii="宋体" w:hAnsi="宋体"/>
                <w:color w:val="000000"/>
              </w:rPr>
              <w:t>电话：</w:t>
            </w:r>
          </w:p>
          <w:p>
            <w:pPr>
              <w:pStyle w:val="4"/>
              <w:ind w:left="0" w:leftChars="0"/>
              <w:jc w:val="left"/>
              <w:rPr>
                <w:rFonts w:ascii="宋体" w:hAnsi="宋体"/>
                <w:color w:val="000000"/>
              </w:rPr>
            </w:pPr>
            <w:r>
              <w:rPr>
                <w:rFonts w:hint="eastAsia" w:ascii="宋体" w:hAnsi="宋体"/>
                <w:color w:val="000000"/>
              </w:rPr>
              <w:t>传真：</w:t>
            </w:r>
          </w:p>
          <w:p>
            <w:pPr>
              <w:pStyle w:val="4"/>
              <w:ind w:left="1588" w:leftChars="756" w:firstLine="378" w:firstLineChars="180"/>
              <w:jc w:val="left"/>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65" w:type="dxa"/>
          <w:trHeight w:val="2790" w:hRule="atLeast"/>
        </w:trPr>
        <w:tc>
          <w:tcPr>
            <w:tcW w:w="4395" w:type="dxa"/>
            <w:tcBorders>
              <w:bottom w:val="single" w:color="auto" w:sz="4" w:space="0"/>
            </w:tcBorders>
          </w:tcPr>
          <w:p>
            <w:pPr>
              <w:pStyle w:val="4"/>
              <w:ind w:firstLine="590"/>
              <w:jc w:val="center"/>
              <w:rPr>
                <w:rFonts w:ascii="宋体" w:hAnsi="宋体"/>
                <w:b/>
                <w:color w:val="000000"/>
                <w:sz w:val="30"/>
              </w:rPr>
            </w:pPr>
          </w:p>
          <w:p>
            <w:pPr>
              <w:pStyle w:val="4"/>
              <w:ind w:left="0" w:leftChars="0"/>
              <w:jc w:val="center"/>
              <w:rPr>
                <w:rFonts w:ascii="宋体" w:hAnsi="宋体"/>
                <w:color w:val="000000"/>
                <w:sz w:val="30"/>
              </w:rPr>
            </w:pPr>
            <w:r>
              <w:rPr>
                <w:rFonts w:hint="eastAsia" w:ascii="宋体" w:hAnsi="宋体"/>
                <w:b/>
                <w:color w:val="000000"/>
                <w:sz w:val="32"/>
                <w:szCs w:val="32"/>
              </w:rPr>
              <w:t>报价一览表</w:t>
            </w:r>
          </w:p>
          <w:p>
            <w:pPr>
              <w:pStyle w:val="4"/>
              <w:ind w:firstLine="470"/>
              <w:jc w:val="center"/>
              <w:rPr>
                <w:rFonts w:ascii="宋体" w:hAnsi="宋体"/>
                <w:color w:val="000000"/>
              </w:rPr>
            </w:pPr>
          </w:p>
          <w:p>
            <w:pPr>
              <w:pStyle w:val="4"/>
              <w:ind w:left="0" w:leftChars="0"/>
              <w:jc w:val="center"/>
              <w:rPr>
                <w:rFonts w:ascii="宋体" w:hAnsi="宋体"/>
                <w:color w:val="000000"/>
              </w:rPr>
            </w:pPr>
            <w:r>
              <w:rPr>
                <w:rFonts w:hint="eastAsia" w:ascii="宋体" w:hAnsi="宋体"/>
                <w:color w:val="000000"/>
              </w:rPr>
              <w:t>项目编号：</w:t>
            </w:r>
          </w:p>
          <w:p>
            <w:pPr>
              <w:pStyle w:val="4"/>
              <w:ind w:left="0" w:leftChars="0"/>
              <w:jc w:val="center"/>
              <w:rPr>
                <w:rFonts w:ascii="宋体" w:hAnsi="宋体"/>
                <w:color w:val="000000"/>
              </w:rPr>
            </w:pPr>
            <w:r>
              <w:rPr>
                <w:rFonts w:hint="eastAsia" w:ascii="宋体" w:hAnsi="宋体"/>
                <w:color w:val="000000"/>
              </w:rPr>
              <w:t>项目名称：</w:t>
            </w:r>
          </w:p>
          <w:p>
            <w:pPr>
              <w:pStyle w:val="4"/>
              <w:ind w:left="0" w:leftChars="0"/>
              <w:jc w:val="center"/>
              <w:rPr>
                <w:rFonts w:ascii="宋体" w:hAnsi="宋体"/>
                <w:color w:val="000000"/>
              </w:rPr>
            </w:pPr>
            <w:r>
              <w:rPr>
                <w:rFonts w:hint="eastAsia" w:ascii="宋体" w:hAnsi="宋体"/>
                <w:color w:val="000000"/>
              </w:rPr>
              <w:t>所报包号：</w:t>
            </w:r>
          </w:p>
          <w:p>
            <w:pPr>
              <w:pStyle w:val="4"/>
              <w:ind w:left="0" w:leftChars="0"/>
              <w:jc w:val="center"/>
              <w:rPr>
                <w:rFonts w:ascii="宋体" w:hAnsi="宋体"/>
                <w:color w:val="000000"/>
              </w:rPr>
            </w:pPr>
            <w:r>
              <w:rPr>
                <w:rFonts w:hint="eastAsia" w:ascii="宋体" w:hAnsi="宋体"/>
                <w:color w:val="000000"/>
              </w:rPr>
              <w:t>供应商名称（公章）：</w:t>
            </w:r>
          </w:p>
          <w:p>
            <w:pPr>
              <w:pStyle w:val="4"/>
              <w:ind w:firstLine="470"/>
              <w:jc w:val="center"/>
              <w:rPr>
                <w:rFonts w:ascii="宋体" w:hAnsi="宋体"/>
                <w:color w:val="000000"/>
              </w:rPr>
            </w:pPr>
          </w:p>
        </w:tc>
      </w:tr>
    </w:tbl>
    <w:p>
      <w:pPr>
        <w:pStyle w:val="4"/>
        <w:ind w:left="0" w:leftChars="0" w:firstLine="3861" w:firstLineChars="1202"/>
        <w:rPr>
          <w:rFonts w:ascii="宋体" w:hAnsi="宋体"/>
          <w:b/>
          <w:color w:val="000000"/>
          <w:sz w:val="32"/>
          <w:szCs w:val="32"/>
        </w:rPr>
      </w:pPr>
      <w:r>
        <w:rPr>
          <w:rFonts w:hint="eastAsia" w:ascii="宋体" w:hAnsi="宋体"/>
          <w:b/>
          <w:color w:val="000000"/>
          <w:sz w:val="32"/>
          <w:szCs w:val="32"/>
        </w:rPr>
        <w:t>封口格式：</w:t>
      </w:r>
    </w:p>
    <w:tbl>
      <w:tblPr>
        <w:tblStyle w:val="6"/>
        <w:tblW w:w="916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9168" w:type="dxa"/>
            <w:tcBorders>
              <w:bottom w:val="single" w:color="auto" w:sz="4" w:space="0"/>
            </w:tcBorders>
            <w:vAlign w:val="center"/>
          </w:tcPr>
          <w:p>
            <w:pPr>
              <w:pStyle w:val="4"/>
              <w:ind w:left="0" w:leftChars="0"/>
              <w:rPr>
                <w:rFonts w:ascii="宋体" w:hAnsi="宋体"/>
                <w:color w:val="000000"/>
              </w:rPr>
            </w:pPr>
            <w:r>
              <w:rPr>
                <w:rFonts w:hint="eastAsia" w:ascii="宋体" w:hAnsi="宋体"/>
                <w:color w:val="000000"/>
              </w:rPr>
              <w:t>………………………于   年  月  日   时之前不准启封（公章）………………………</w:t>
            </w:r>
          </w:p>
        </w:tc>
      </w:tr>
    </w:tbl>
    <w:p>
      <w:pPr>
        <w:pStyle w:val="10"/>
        <w:ind w:left="720" w:firstLine="560"/>
        <w:rPr>
          <w:sz w:val="28"/>
          <w:szCs w:val="28"/>
        </w:rPr>
      </w:pPr>
    </w:p>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A210325C-2DCB-440E-B514-0A3076D4771E}"/>
  </w:font>
  <w:font w:name="仿宋_GB2312">
    <w:altName w:val="仿宋"/>
    <w:panose1 w:val="02010609030101010101"/>
    <w:charset w:val="86"/>
    <w:family w:val="modern"/>
    <w:pitch w:val="default"/>
    <w:sig w:usb0="00000000" w:usb1="00000000" w:usb2="00000010" w:usb3="00000000" w:csb0="00040000" w:csb1="00000000"/>
    <w:embedRegular r:id="rId2" w:fontKey="{C384087C-831C-4357-B1B9-1BE15DC560FC}"/>
  </w:font>
  <w:font w:name="仿宋">
    <w:panose1 w:val="02010609060101010101"/>
    <w:charset w:val="86"/>
    <w:family w:val="auto"/>
    <w:pitch w:val="default"/>
    <w:sig w:usb0="800002BF" w:usb1="38CF7CFA" w:usb2="00000016" w:usb3="00000000" w:csb0="00040001" w:csb1="00000000"/>
    <w:embedRegular r:id="rId3" w:fontKey="{780B2145-07AE-49BE-ACDF-4DAD71277BB4}"/>
  </w:font>
  <w:font w:name="方正小标宋简体">
    <w:panose1 w:val="02000000000000000000"/>
    <w:charset w:val="86"/>
    <w:family w:val="auto"/>
    <w:pitch w:val="default"/>
    <w:sig w:usb0="00000001" w:usb1="08000000" w:usb2="00000000" w:usb3="00000000" w:csb0="00040000" w:csb1="00000000"/>
    <w:embedRegular r:id="rId4" w:fontKey="{791BF27E-61CC-4588-838C-08192FC1CC7C}"/>
  </w:font>
  <w:font w:name="Segoe UI">
    <w:panose1 w:val="020B0502040204020203"/>
    <w:charset w:val="00"/>
    <w:family w:val="swiss"/>
    <w:pitch w:val="default"/>
    <w:sig w:usb0="E4002EFF" w:usb1="C000E47F" w:usb2="00000009" w:usb3="00000000" w:csb0="200001FF" w:csb1="00000000"/>
    <w:embedRegular r:id="rId5" w:fontKey="{A9326585-42A9-4463-BB71-EC821FBCE5BC}"/>
  </w:font>
  <w:font w:name="Helvetica">
    <w:altName w:val="Arial"/>
    <w:panose1 w:val="020B0604020202020204"/>
    <w:charset w:val="00"/>
    <w:family w:val="swiss"/>
    <w:pitch w:val="default"/>
    <w:sig w:usb0="00000000" w:usb1="00000000" w:usb2="00000000" w:usb3="00000000" w:csb0="00000001" w:csb1="00000000"/>
    <w:embedRegular r:id="rId6" w:fontKey="{34106DDD-0F6E-40D6-A55A-91E0048515A4}"/>
  </w:font>
  <w:font w:name="Heiti SC Light">
    <w:altName w:val="红豆福牛迎春"/>
    <w:panose1 w:val="00000000000000000000"/>
    <w:charset w:val="50"/>
    <w:family w:val="auto"/>
    <w:pitch w:val="default"/>
    <w:sig w:usb0="00000000" w:usb1="00000000" w:usb2="00000010" w:usb3="00000000" w:csb0="00040000" w:csb1="00000000"/>
    <w:embedRegular r:id="rId7" w:fontKey="{CAE5D4EE-DE2C-4697-8510-5E7459076F01}"/>
  </w:font>
  <w:font w:name="红豆福牛迎春">
    <w:panose1 w:val="02000509000000000000"/>
    <w:charset w:val="86"/>
    <w:family w:val="auto"/>
    <w:pitch w:val="default"/>
    <w:sig w:usb0="00000001" w:usb1="08010410"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6D7246"/>
    <w:multiLevelType w:val="multilevel"/>
    <w:tmpl w:val="4E6D7246"/>
    <w:lvl w:ilvl="0" w:tentative="0">
      <w:start w:val="1"/>
      <w:numFmt w:val="japaneseCounting"/>
      <w:lvlText w:val="第%1章"/>
      <w:lvlJc w:val="left"/>
      <w:pPr>
        <w:ind w:left="1170" w:hanging="11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B3F547B"/>
    <w:multiLevelType w:val="multilevel"/>
    <w:tmpl w:val="5B3F547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742DDC"/>
    <w:rsid w:val="10B16E58"/>
    <w:rsid w:val="2A317094"/>
    <w:rsid w:val="431906E5"/>
    <w:rsid w:val="43251D35"/>
    <w:rsid w:val="434972D9"/>
    <w:rsid w:val="6DE557E8"/>
    <w:rsid w:val="6F45334E"/>
    <w:rsid w:val="7DE63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caption"/>
    <w:basedOn w:val="1"/>
    <w:next w:val="1"/>
    <w:qFormat/>
    <w:uiPriority w:val="0"/>
    <w:pPr>
      <w:spacing w:before="152" w:after="160"/>
    </w:pPr>
    <w:rPr>
      <w:rFonts w:ascii="Arial" w:hAnsi="Arial" w:eastAsia="黑体" w:cs="Arial"/>
      <w:sz w:val="20"/>
      <w:szCs w:val="20"/>
    </w:rPr>
  </w:style>
  <w:style w:type="paragraph" w:styleId="3">
    <w:name w:val="Body Text"/>
    <w:basedOn w:val="1"/>
    <w:qFormat/>
    <w:uiPriority w:val="0"/>
    <w:pPr>
      <w:spacing w:after="120"/>
    </w:pPr>
    <w:rPr>
      <w:szCs w:val="24"/>
    </w:rPr>
  </w:style>
  <w:style w:type="paragraph" w:styleId="4">
    <w:name w:val="Body Text Indent"/>
    <w:basedOn w:val="1"/>
    <w:unhideWhenUsed/>
    <w:qFormat/>
    <w:uiPriority w:val="99"/>
    <w:pPr>
      <w:spacing w:after="120"/>
      <w:ind w:left="420" w:leftChars="200"/>
    </w:p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paragraph" w:styleId="10">
    <w:name w:val="List Paragraph"/>
    <w:basedOn w:val="1"/>
    <w:qFormat/>
    <w:uiPriority w:val="34"/>
    <w:pPr>
      <w:ind w:firstLine="420" w:firstLineChars="200"/>
    </w:pPr>
  </w:style>
  <w:style w:type="character" w:customStyle="1" w:styleId="11">
    <w:name w:val="font01"/>
    <w:basedOn w:val="8"/>
    <w:qFormat/>
    <w:uiPriority w:val="0"/>
    <w:rPr>
      <w:rFonts w:hint="default" w:ascii="仿宋_GB2312" w:eastAsia="仿宋_GB2312" w:cs="仿宋_GB2312"/>
      <w:color w:val="000000"/>
      <w:sz w:val="24"/>
      <w:szCs w:val="24"/>
      <w:u w:val="none"/>
    </w:rPr>
  </w:style>
  <w:style w:type="paragraph" w:customStyle="1" w:styleId="12">
    <w:name w:val="首行缩进"/>
    <w:basedOn w:val="1"/>
    <w:unhideWhenUsed/>
    <w:qFormat/>
    <w:uiPriority w:val="0"/>
    <w:pPr>
      <w:spacing w:line="360" w:lineRule="auto"/>
      <w:ind w:firstLine="480" w:firstLineChars="200"/>
    </w:pPr>
    <w:rPr>
      <w:rFonts w:hint="eastAsia" w:ascii="宋体" w:hAnsi="宋体" w:eastAsiaTheme="minorEastAsia" w:cstheme="minorBidi"/>
      <w:color w:val="auto"/>
      <w:kern w:val="0"/>
      <w:szCs w:val="22"/>
    </w:rPr>
  </w:style>
  <w:style w:type="character" w:customStyle="1" w:styleId="13">
    <w:name w:val="样式 仿宋"/>
    <w:qFormat/>
    <w:uiPriority w:val="99"/>
    <w:rPr>
      <w:rFonts w:hint="eastAsia" w:ascii="仿宋" w:hAnsi="仿宋" w:eastAsia="仿宋"/>
      <w:kern w:val="2"/>
    </w:rPr>
  </w:style>
  <w:style w:type="paragraph" w:customStyle="1" w:styleId="14">
    <w:name w:val="Table Paragraph"/>
    <w:basedOn w:val="1"/>
    <w:unhideWhenUsed/>
    <w:qFormat/>
    <w:uiPriority w:val="1"/>
    <w:pPr>
      <w:widowControl/>
    </w:pPr>
    <w:rPr>
      <w:rFonts w:hint="eastAsia" w:ascii="宋体" w:hAnsi="宋体" w:eastAsia="宋体" w:cs="Times New Roman"/>
      <w:szCs w:val="20"/>
      <w:lang w:val="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赵龙</cp:lastModifiedBy>
  <dcterms:modified xsi:type="dcterms:W3CDTF">2021-10-28T01:32:25Z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0C3CDB2414AB4D129B50826CF23A9AC8</vt:lpwstr>
  </property>
</Properties>
</file>