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山东第一医科大学附属青岛眼科医院公寓装修改造项目竞争性磋商文件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9月1日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7"/>
      <w:bookmarkStart w:id="3" w:name="OLE_LINK18"/>
      <w:bookmarkStart w:id="4" w:name="OLE_LINK15"/>
      <w:bookmarkStart w:id="5" w:name="OLE_LINK19"/>
      <w:bookmarkStart w:id="6" w:name="OLE_LINK20"/>
      <w:bookmarkStart w:id="7" w:name="OLE_LINK16"/>
      <w:bookmarkStart w:id="8" w:name="OLE_LINK21"/>
      <w:r>
        <w:rPr>
          <w:rFonts w:hint="eastAsia"/>
          <w:b/>
          <w:sz w:val="28"/>
          <w:szCs w:val="28"/>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lang w:val="en-US" w:eastAsia="zh-CN"/>
        </w:rPr>
      </w:pPr>
      <w:r>
        <w:rPr>
          <w:rFonts w:hint="eastAsia"/>
          <w:sz w:val="28"/>
          <w:szCs w:val="28"/>
          <w:highlight w:val="none"/>
        </w:rPr>
        <w:t>1、</w:t>
      </w:r>
      <w:r>
        <w:rPr>
          <w:rFonts w:hint="eastAsia"/>
          <w:sz w:val="28"/>
          <w:szCs w:val="28"/>
          <w:highlight w:val="none"/>
          <w:lang w:val="en-US" w:eastAsia="zh-CN"/>
        </w:rPr>
        <w:t>青岛眼科医院1间公寓内部装修改造及1间公寓卫生间防水修缮，主要工作项包括：墙面粉刷、卫生间墙面地面更换瓷砖，地面防水、地板维修、电路改造 、增加洗手盆、更换洗手盆及马桶、卫生间吊顶更换、卫生间门更换、安装防护网、窗口封堵、暖气片更换、新建隔断墙、灯具更换等，详见工程量清单。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rPr>
      </w:pPr>
      <w:r>
        <w:rPr>
          <w:rFonts w:hint="eastAsia"/>
          <w:sz w:val="28"/>
          <w:szCs w:val="28"/>
          <w:highlight w:val="none"/>
          <w:lang w:val="en-US" w:eastAsia="zh-CN"/>
        </w:rPr>
        <w:t>注：不仅含以上工作内容，投标单位勘察现场综合考虑</w:t>
      </w:r>
      <w:r>
        <w:rPr>
          <w:rFonts w:hint="eastAsia"/>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highlight w:val="none"/>
        </w:rPr>
      </w:pPr>
      <w:r>
        <w:rPr>
          <w:rFonts w:hint="eastAsia"/>
          <w:sz w:val="28"/>
          <w:szCs w:val="28"/>
          <w:highlight w:val="none"/>
        </w:rPr>
        <w:t>2、采购控制价：</w:t>
      </w:r>
      <w:r>
        <w:rPr>
          <w:rFonts w:hint="eastAsia"/>
          <w:sz w:val="28"/>
          <w:szCs w:val="28"/>
          <w:highlight w:val="none"/>
          <w:lang w:val="en-US" w:eastAsia="zh-CN"/>
        </w:rPr>
        <w:t>16.5</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30天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r>
        <w:rPr>
          <w:rFonts w:hint="eastAsia"/>
          <w:sz w:val="28"/>
          <w:szCs w:val="28"/>
          <w:lang w:eastAsia="zh-CN"/>
        </w:rPr>
        <w:t>，防水质保5年</w:t>
      </w:r>
      <w:r>
        <w:rPr>
          <w:rFonts w:hint="eastAsia"/>
          <w:sz w:val="28"/>
          <w:szCs w:val="28"/>
        </w:rPr>
        <w:t>。</w:t>
      </w:r>
    </w:p>
    <w:p>
      <w:pPr>
        <w:ind w:firstLine="275" w:firstLineChars="98"/>
        <w:jc w:val="left"/>
        <w:rPr>
          <w:b/>
          <w:sz w:val="28"/>
          <w:szCs w:val="28"/>
        </w:rPr>
      </w:pPr>
      <w:r>
        <w:rPr>
          <w:rFonts w:hint="eastAsia"/>
          <w:b/>
          <w:sz w:val="28"/>
          <w:szCs w:val="28"/>
        </w:rPr>
        <w:t>二、技术要求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1、</w:t>
      </w:r>
      <w:r>
        <w:rPr>
          <w:rFonts w:hint="eastAsia"/>
          <w:b w:val="0"/>
          <w:bCs/>
          <w:sz w:val="30"/>
          <w:szCs w:val="30"/>
        </w:rPr>
        <w:t>施工现场安全防护、防尘防护，在规定的范围施工，保护好周边环境及公共设施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2、</w:t>
      </w:r>
      <w:r>
        <w:rPr>
          <w:rFonts w:hint="eastAsia"/>
          <w:b w:val="0"/>
          <w:bCs/>
          <w:sz w:val="30"/>
          <w:szCs w:val="30"/>
        </w:rPr>
        <w:t>工程所用材料，必须选用质量达标，对人和环境无毒无害的绿色环保材料。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3、</w:t>
      </w:r>
      <w:r>
        <w:rPr>
          <w:rFonts w:hint="eastAsia"/>
          <w:b w:val="0"/>
          <w:bCs/>
          <w:sz w:val="30"/>
          <w:szCs w:val="30"/>
        </w:rPr>
        <w:t>保证安全、文明施工，要求施工场地整洁有序。</w:t>
      </w:r>
      <w:bookmarkStart w:id="9" w:name="_GoBack"/>
      <w:bookmarkEnd w:id="9"/>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4、</w:t>
      </w:r>
      <w:r>
        <w:rPr>
          <w:rFonts w:hint="eastAsia"/>
          <w:b w:val="0"/>
          <w:bCs/>
          <w:sz w:val="30"/>
          <w:szCs w:val="30"/>
        </w:rPr>
        <w:t>必须严格按照国家工程技术规范标准施工，并达到国家工程质量验收规范标准。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5</w:t>
      </w:r>
      <w:r>
        <w:rPr>
          <w:rFonts w:hint="eastAsia"/>
          <w:b w:val="0"/>
          <w:bCs/>
          <w:sz w:val="30"/>
          <w:szCs w:val="30"/>
        </w:rPr>
        <w:t>、装修建材需符合以下要求：腻子、乳胶漆等需符合环保要求并留存合格证；板材须符合环保E1级标准并留存合格证；各项原材料需确保无假冒伪劣，来源渠道正规可查。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6</w:t>
      </w:r>
      <w:r>
        <w:rPr>
          <w:rFonts w:hint="eastAsia"/>
          <w:b w:val="0"/>
          <w:bCs/>
          <w:sz w:val="30"/>
          <w:szCs w:val="30"/>
        </w:rPr>
        <w:t>、施工现场要求整洁、有序，无违章施工。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7</w:t>
      </w:r>
      <w:r>
        <w:rPr>
          <w:rFonts w:hint="eastAsia"/>
          <w:b w:val="0"/>
          <w:bCs/>
          <w:sz w:val="30"/>
          <w:szCs w:val="30"/>
        </w:rPr>
        <w:t>、安全施工、文明施工，施工期间不影响周边居民。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8</w:t>
      </w:r>
      <w:r>
        <w:rPr>
          <w:rFonts w:hint="eastAsia"/>
          <w:b w:val="0"/>
          <w:bCs/>
          <w:sz w:val="30"/>
          <w:szCs w:val="30"/>
        </w:rPr>
        <w:t>、不得与周边住户发生争执。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9</w:t>
      </w:r>
      <w:r>
        <w:rPr>
          <w:rFonts w:hint="eastAsia"/>
          <w:b w:val="0"/>
          <w:bCs/>
          <w:sz w:val="30"/>
          <w:szCs w:val="30"/>
        </w:rPr>
        <w:t>、</w:t>
      </w:r>
      <w:r>
        <w:rPr>
          <w:rFonts w:hint="eastAsia" w:asciiTheme="minorEastAsia" w:hAnsiTheme="minorEastAsia" w:cstheme="minorEastAsia"/>
          <w:kern w:val="2"/>
          <w:sz w:val="28"/>
          <w:szCs w:val="28"/>
          <w:lang w:val="en-US" w:eastAsia="zh-CN" w:bidi="ar-SA"/>
        </w:rPr>
        <w:t>施工单位与小区物业签订物业装修管理规定（装修协议），施工单位人员需遵守小区物业管理规定。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10、</w:t>
      </w:r>
      <w:r>
        <w:rPr>
          <w:rFonts w:hint="eastAsia"/>
          <w:b w:val="0"/>
          <w:bCs/>
          <w:sz w:val="30"/>
          <w:szCs w:val="30"/>
        </w:rPr>
        <w:t xml:space="preserve">具体事项要求投标单位勘查现场时以现场交底实际情况为准。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eastAsiaTheme="minorEastAsia"/>
          <w:b w:val="0"/>
          <w:bCs/>
          <w:sz w:val="30"/>
          <w:szCs w:val="30"/>
          <w:lang w:eastAsia="zh-CN"/>
        </w:rPr>
      </w:pPr>
      <w:r>
        <w:rPr>
          <w:rFonts w:hint="eastAsia"/>
          <w:b w:val="0"/>
          <w:bCs/>
          <w:sz w:val="30"/>
          <w:szCs w:val="30"/>
          <w:lang w:val="en-US" w:eastAsia="zh-CN"/>
        </w:rPr>
        <w:t>11、</w:t>
      </w:r>
      <w:r>
        <w:rPr>
          <w:rFonts w:hint="eastAsia"/>
          <w:b w:val="0"/>
          <w:bCs/>
          <w:sz w:val="30"/>
          <w:szCs w:val="30"/>
        </w:rPr>
        <w:t>本项目结束后工程量据实审计</w:t>
      </w:r>
      <w:r>
        <w:rPr>
          <w:rFonts w:hint="eastAsia"/>
          <w:b w:val="0"/>
          <w:bCs/>
          <w:sz w:val="30"/>
          <w:szCs w:val="30"/>
          <w:lang w:eastAsia="zh-CN"/>
        </w:rPr>
        <w:t>。</w:t>
      </w:r>
    </w:p>
    <w:p>
      <w:pPr>
        <w:ind w:firstLine="301" w:firstLineChars="100"/>
        <w:rPr>
          <w:b/>
          <w:sz w:val="30"/>
          <w:szCs w:val="30"/>
        </w:rPr>
      </w:pPr>
      <w:r>
        <w:rPr>
          <w:rFonts w:hint="eastAsia"/>
          <w:b/>
          <w:sz w:val="30"/>
          <w:szCs w:val="30"/>
        </w:rPr>
        <w:t xml:space="preserve"> 三、主材要求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1、灯具 （品牌：松下或雷士）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2、水管 （品牌：日丰或联塑）ppr20</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3、电线（品牌：汉河或远东） ，水盆及马桶 （箭牌或惠达）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4、乳胶漆 （品牌：立邦或多乐士环保净味漆）、腻子（鸿福居或立邦），要求：三遍腻子三遍乳胶漆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 xml:space="preserve">5、地砖（品牌：广东瓷砖或萨米特）、铝扣板（品牌：得邦或奥华）、免漆木门（欧迪玛或基隆）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rPr>
        <w:t>6、防水涂料（品牌：东方雨虹或灯塔牌）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eastAsiaTheme="minorEastAsia"/>
          <w:b w:val="0"/>
          <w:bCs/>
          <w:sz w:val="30"/>
          <w:szCs w:val="30"/>
          <w:lang w:val="en-US" w:eastAsia="zh-CN"/>
        </w:rPr>
      </w:pPr>
      <w:r>
        <w:rPr>
          <w:rFonts w:hint="eastAsia"/>
          <w:b w:val="0"/>
          <w:bCs/>
          <w:sz w:val="30"/>
          <w:szCs w:val="30"/>
          <w:lang w:val="en-US" w:eastAsia="zh-CN"/>
        </w:rPr>
        <w:t>注：或相当的品牌</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val="0"/>
          <w:sz w:val="30"/>
          <w:szCs w:val="30"/>
        </w:rPr>
      </w:pPr>
      <w:r>
        <w:rPr>
          <w:rFonts w:hint="eastAsia"/>
          <w:b/>
          <w:bCs w:val="0"/>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9"/>
        <w:tblpPr w:leftFromText="180" w:rightFromText="180" w:vertAnchor="page" w:tblpX="-493" w:tblpY="216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376" w:type="dxa"/>
            <w:vAlign w:val="center"/>
          </w:tcPr>
          <w:p>
            <w:pPr>
              <w:jc w:val="center"/>
              <w:rPr>
                <w:b/>
                <w:sz w:val="24"/>
                <w:highlight w:val="none"/>
              </w:rPr>
            </w:pPr>
            <w:r>
              <w:rPr>
                <w:rFonts w:hint="eastAsia"/>
                <w:b/>
                <w:sz w:val="24"/>
                <w:highlight w:val="none"/>
              </w:rPr>
              <w:t>项目</w:t>
            </w:r>
          </w:p>
        </w:tc>
        <w:tc>
          <w:tcPr>
            <w:tcW w:w="6521" w:type="dxa"/>
            <w:vAlign w:val="center"/>
          </w:tcPr>
          <w:p>
            <w:pPr>
              <w:jc w:val="center"/>
              <w:rPr>
                <w:b/>
                <w:sz w:val="24"/>
                <w:highlight w:val="none"/>
              </w:rPr>
            </w:pPr>
            <w:r>
              <w:rPr>
                <w:rFonts w:hint="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sz w:val="24"/>
                <w:highlight w:val="none"/>
              </w:rPr>
            </w:pPr>
            <w:r>
              <w:rPr>
                <w:rFonts w:hint="eastAsia"/>
                <w:sz w:val="24"/>
                <w:highlight w:val="none"/>
              </w:rPr>
              <w:t>报价（35分）</w:t>
            </w:r>
          </w:p>
        </w:tc>
        <w:tc>
          <w:tcPr>
            <w:tcW w:w="6521" w:type="dxa"/>
            <w:vAlign w:val="center"/>
          </w:tcPr>
          <w:p>
            <w:pPr>
              <w:rPr>
                <w:sz w:val="24"/>
                <w:highlight w:val="none"/>
              </w:rPr>
            </w:pPr>
            <w:r>
              <w:rPr>
                <w:rFonts w:hint="eastAsia" w:hAnsi="宋体"/>
                <w:sz w:val="24"/>
                <w:highlight w:val="none"/>
              </w:rPr>
              <w:t>磋商基准价：满足磋商文件要求且最终报价最低的供应商的价格为磋商基准价，其价格分为满分（35 分），其他供应商磋商报价得分=（磋商基准价/最后磋商报价）×35分（报价得分小数点后保留两位）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376" w:type="dxa"/>
            <w:vAlign w:val="center"/>
          </w:tcPr>
          <w:p>
            <w:pPr>
              <w:rPr>
                <w:sz w:val="24"/>
                <w:highlight w:val="none"/>
              </w:rPr>
            </w:pPr>
            <w:r>
              <w:rPr>
                <w:rFonts w:hint="eastAsia"/>
                <w:sz w:val="24"/>
                <w:highlight w:val="none"/>
              </w:rPr>
              <w:t>企业业绩（9分）</w:t>
            </w:r>
          </w:p>
        </w:tc>
        <w:tc>
          <w:tcPr>
            <w:tcW w:w="6521" w:type="dxa"/>
            <w:vAlign w:val="center"/>
          </w:tcPr>
          <w:p>
            <w:pPr>
              <w:rPr>
                <w:sz w:val="24"/>
                <w:highlight w:val="none"/>
              </w:rPr>
            </w:pPr>
            <w:r>
              <w:rPr>
                <w:rFonts w:hint="eastAsia"/>
                <w:sz w:val="24"/>
                <w:highlight w:val="none"/>
              </w:rPr>
              <w:t>供应商 201</w:t>
            </w:r>
            <w:r>
              <w:rPr>
                <w:rFonts w:hint="eastAsia"/>
                <w:sz w:val="24"/>
                <w:highlight w:val="none"/>
                <w:lang w:val="en-US" w:eastAsia="zh-CN"/>
              </w:rPr>
              <w:t>8</w:t>
            </w:r>
            <w:r>
              <w:rPr>
                <w:rFonts w:hint="eastAsia"/>
                <w:sz w:val="24"/>
                <w:highlight w:val="none"/>
              </w:rPr>
              <w:t xml:space="preserve">年 </w:t>
            </w:r>
            <w:r>
              <w:rPr>
                <w:rFonts w:hint="eastAsia"/>
                <w:sz w:val="24"/>
                <w:highlight w:val="none"/>
                <w:lang w:val="en-US" w:eastAsia="zh-CN"/>
              </w:rPr>
              <w:t>9</w:t>
            </w:r>
            <w:r>
              <w:rPr>
                <w:rFonts w:hint="eastAsia"/>
                <w:sz w:val="24"/>
                <w:highlight w:val="none"/>
              </w:rPr>
              <w:t>月 1 日后签订的同类项目，合同金额30 万元及以上，每提供一个3分，最高9分</w:t>
            </w:r>
            <w:r>
              <w:rPr>
                <w:rFonts w:hint="eastAsia"/>
                <w:b/>
                <w:sz w:val="24"/>
                <w:highlight w:val="none"/>
              </w:rPr>
              <w:t>（须提供合同原件及验收报告，二者缺一不可，否则不得分）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376" w:type="dxa"/>
            <w:vAlign w:val="center"/>
          </w:tcPr>
          <w:p>
            <w:pPr>
              <w:rPr>
                <w:rFonts w:hint="eastAsia"/>
                <w:sz w:val="24"/>
                <w:highlight w:val="none"/>
              </w:rPr>
            </w:pPr>
            <w:r>
              <w:rPr>
                <w:rFonts w:hint="eastAsia"/>
                <w:sz w:val="24"/>
                <w:highlight w:val="none"/>
              </w:rPr>
              <w:t>工期（9分）</w:t>
            </w:r>
          </w:p>
        </w:tc>
        <w:tc>
          <w:tcPr>
            <w:tcW w:w="6521" w:type="dxa"/>
            <w:vAlign w:val="center"/>
          </w:tcPr>
          <w:p>
            <w:pPr>
              <w:rPr>
                <w:rFonts w:hint="eastAsia" w:hAnsi="宋体"/>
                <w:sz w:val="24"/>
                <w:highlight w:val="none"/>
              </w:rPr>
            </w:pPr>
            <w:r>
              <w:rPr>
                <w:rFonts w:hint="eastAsia" w:hAnsi="宋体"/>
                <w:sz w:val="24"/>
                <w:highlight w:val="none"/>
              </w:rPr>
              <w:t>满足磋商文件不得分，工期每提前1天得3分，最高9分。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376" w:type="dxa"/>
            <w:vAlign w:val="center"/>
          </w:tcPr>
          <w:p>
            <w:pPr>
              <w:rPr>
                <w:sz w:val="24"/>
                <w:highlight w:val="none"/>
              </w:rPr>
            </w:pPr>
            <w:r>
              <w:rPr>
                <w:rFonts w:hint="eastAsia"/>
                <w:sz w:val="24"/>
                <w:highlight w:val="none"/>
              </w:rPr>
              <w:t>资信及履约能力（5分）</w:t>
            </w:r>
          </w:p>
        </w:tc>
        <w:tc>
          <w:tcPr>
            <w:tcW w:w="6521" w:type="dxa"/>
            <w:vAlign w:val="center"/>
          </w:tcPr>
          <w:p>
            <w:pPr>
              <w:autoSpaceDE w:val="0"/>
              <w:autoSpaceDN w:val="0"/>
              <w:adjustRightInd w:val="0"/>
              <w:jc w:val="left"/>
              <w:rPr>
                <w:rFonts w:ascii="宋体" w:cs="宋体"/>
                <w:kern w:val="0"/>
                <w:sz w:val="24"/>
                <w:highlight w:val="none"/>
              </w:rPr>
            </w:pPr>
            <w:r>
              <w:rPr>
                <w:rFonts w:hint="eastAsia" w:ascii="宋体" w:cs="宋体"/>
                <w:kern w:val="0"/>
                <w:sz w:val="24"/>
                <w:highlight w:val="none"/>
              </w:rPr>
              <w:t>综合考虑企业财务状况、资信情况、同类工程质量</w:t>
            </w:r>
            <w:r>
              <w:rPr>
                <w:rFonts w:ascii="宋体" w:cs="宋体"/>
                <w:kern w:val="0"/>
                <w:sz w:val="24"/>
                <w:highlight w:val="none"/>
              </w:rPr>
              <w:t>/</w:t>
            </w:r>
            <w:r>
              <w:rPr>
                <w:rFonts w:hint="eastAsia" w:ascii="宋体" w:cs="宋体"/>
                <w:kern w:val="0"/>
                <w:sz w:val="24"/>
                <w:highlight w:val="none"/>
              </w:rPr>
              <w:t>产品供货</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履约能力等方面的情况，得1-5分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376" w:type="dxa"/>
            <w:vAlign w:val="center"/>
          </w:tcPr>
          <w:p>
            <w:pPr>
              <w:rPr>
                <w:sz w:val="24"/>
                <w:highlight w:val="none"/>
              </w:rPr>
            </w:pPr>
            <w:r>
              <w:rPr>
                <w:rFonts w:hint="eastAsia"/>
                <w:sz w:val="24"/>
                <w:highlight w:val="none"/>
              </w:rPr>
              <w:t>主材质量、品牌、环保性能等（12分）</w:t>
            </w:r>
          </w:p>
        </w:tc>
        <w:tc>
          <w:tcPr>
            <w:tcW w:w="6521" w:type="dxa"/>
            <w:vAlign w:val="center"/>
          </w:tcPr>
          <w:p>
            <w:pPr>
              <w:rPr>
                <w:rFonts w:hAnsi="宋体"/>
                <w:sz w:val="24"/>
                <w:highlight w:val="none"/>
              </w:rPr>
            </w:pPr>
            <w:r>
              <w:rPr>
                <w:rFonts w:hint="eastAsia" w:ascii="宋体" w:cs="宋体"/>
                <w:kern w:val="0"/>
                <w:sz w:val="24"/>
                <w:highlight w:val="none"/>
              </w:rPr>
              <w:t>依据所投主材料质量、品牌、环保性能等，得3～12分。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trPr>
        <w:tc>
          <w:tcPr>
            <w:tcW w:w="2376" w:type="dxa"/>
            <w:vAlign w:val="center"/>
          </w:tcPr>
          <w:p>
            <w:pPr>
              <w:rPr>
                <w:sz w:val="24"/>
                <w:highlight w:val="none"/>
              </w:rPr>
            </w:pPr>
            <w:r>
              <w:rPr>
                <w:rFonts w:hint="eastAsia"/>
                <w:sz w:val="24"/>
                <w:highlight w:val="none"/>
              </w:rPr>
              <w:t>施工组织设计（30分）</w:t>
            </w:r>
          </w:p>
        </w:tc>
        <w:tc>
          <w:tcPr>
            <w:tcW w:w="6521" w:type="dxa"/>
            <w:vAlign w:val="center"/>
          </w:tcPr>
          <w:p>
            <w:pPr>
              <w:autoSpaceDE w:val="0"/>
              <w:autoSpaceDN w:val="0"/>
              <w:adjustRightInd w:val="0"/>
              <w:jc w:val="left"/>
              <w:rPr>
                <w:rFonts w:ascii="宋体" w:cs="宋体"/>
                <w:kern w:val="0"/>
                <w:sz w:val="24"/>
                <w:highlight w:val="none"/>
              </w:rPr>
            </w:pPr>
            <w:r>
              <w:rPr>
                <w:rFonts w:ascii="宋体" w:cs="宋体"/>
                <w:kern w:val="0"/>
                <w:sz w:val="24"/>
                <w:highlight w:val="none"/>
              </w:rPr>
              <w:t>1</w:t>
            </w:r>
            <w:r>
              <w:rPr>
                <w:rFonts w:hint="eastAsia" w:ascii="宋体" w:cs="宋体"/>
                <w:kern w:val="0"/>
                <w:sz w:val="24"/>
                <w:highlight w:val="none"/>
              </w:rPr>
              <w:t>、主要施工方法及技术措施，降低工程造价的主要措施；评委根据报价文件情况酌情得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2</w:t>
            </w:r>
            <w:r>
              <w:rPr>
                <w:rFonts w:hint="eastAsia" w:ascii="宋体" w:cs="宋体"/>
                <w:kern w:val="0"/>
                <w:sz w:val="24"/>
                <w:highlight w:val="none"/>
              </w:rPr>
              <w:t>、确保工程质量的技术组织措施；评委根据报价文件情况得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3</w:t>
            </w:r>
            <w:r>
              <w:rPr>
                <w:rFonts w:hint="eastAsia" w:ascii="宋体" w:cs="宋体"/>
                <w:kern w:val="0"/>
                <w:sz w:val="24"/>
                <w:highlight w:val="none"/>
              </w:rPr>
              <w:t>、确保安全生产、文明施工、环境保护、扬尘污染的技术组织措施；评委根据报价文件情况酌情得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4、任何可能的紧急情况的处理措施、预案以及抵抗风险（包括工程施工过程中可能遇到的各种风险）的措施；评委根据报价文件情况酌情得</w:t>
            </w:r>
            <w:r>
              <w:rPr>
                <w:rFonts w:ascii="宋体" w:cs="宋体"/>
                <w:kern w:val="0"/>
                <w:sz w:val="24"/>
                <w:highlight w:val="none"/>
              </w:rPr>
              <w:t>0-</w:t>
            </w:r>
            <w:r>
              <w:rPr>
                <w:rFonts w:hint="eastAsia" w:ascii="宋体" w:cs="宋体"/>
                <w:kern w:val="0"/>
                <w:sz w:val="24"/>
                <w:highlight w:val="none"/>
              </w:rPr>
              <w:t>5分；</w:t>
            </w:r>
          </w:p>
          <w:p>
            <w:pPr>
              <w:autoSpaceDE w:val="0"/>
              <w:autoSpaceDN w:val="0"/>
              <w:adjustRightInd w:val="0"/>
              <w:jc w:val="left"/>
              <w:rPr>
                <w:rFonts w:hint="eastAsia" w:ascii="宋体" w:cs="宋体"/>
                <w:kern w:val="0"/>
                <w:sz w:val="24"/>
                <w:highlight w:val="none"/>
              </w:rPr>
            </w:pPr>
            <w:r>
              <w:rPr>
                <w:rFonts w:hint="eastAsia" w:ascii="宋体" w:cs="宋体"/>
                <w:kern w:val="0"/>
                <w:sz w:val="24"/>
                <w:highlight w:val="none"/>
              </w:rPr>
              <w:t>5、有采购人认可的符合国家政策要求的实质性优惠及合理化建议的，有针对本工程的特点合理安排施工，节约造价、提高质量和缩短工期等方面，并且措施得当；评委根据报价文件情况酌情得0-5分；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6、供应商对施工中的交叉作业、特殊环境作业要有相应配合措施及详细解决方案；评委根据报价文件情况酌情得</w:t>
            </w:r>
            <w:r>
              <w:rPr>
                <w:rFonts w:ascii="宋体" w:cs="宋体"/>
                <w:kern w:val="0"/>
                <w:sz w:val="24"/>
                <w:highlight w:val="none"/>
              </w:rPr>
              <w:t>0-</w:t>
            </w:r>
            <w:r>
              <w:rPr>
                <w:rFonts w:hint="eastAsia" w:ascii="宋体" w:cs="宋体"/>
                <w:kern w:val="0"/>
                <w:sz w:val="24"/>
                <w:highlight w:val="none"/>
              </w:rPr>
              <w:t>5</w:t>
            </w:r>
            <w:r>
              <w:rPr>
                <w:rFonts w:ascii="宋体" w:cs="宋体"/>
                <w:kern w:val="0"/>
                <w:sz w:val="24"/>
                <w:highlight w:val="none"/>
              </w:rPr>
              <w:t xml:space="preserve"> </w:t>
            </w:r>
            <w:r>
              <w:rPr>
                <w:rFonts w:hint="eastAsia" w:ascii="宋体" w:cs="宋体"/>
                <w:kern w:val="0"/>
                <w:sz w:val="24"/>
                <w:highlight w:val="none"/>
              </w:rPr>
              <w:t>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9</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8AB433-6346-4B57-9B26-B877E3668F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41BAB59F-2898-4AE2-8145-D5D2C1DC5F8C}"/>
  </w:font>
  <w:font w:name="Helvetica">
    <w:altName w:val="Arial"/>
    <w:panose1 w:val="020B0604020202020204"/>
    <w:charset w:val="00"/>
    <w:family w:val="swiss"/>
    <w:pitch w:val="default"/>
    <w:sig w:usb0="00000000" w:usb1="00000000" w:usb2="00000000" w:usb3="00000000" w:csb0="00000001" w:csb1="00000000"/>
    <w:embedRegular r:id="rId3" w:fontKey="{B051935F-8DAD-4377-B997-C281C7B66193}"/>
  </w:font>
  <w:font w:name="Heiti SC Light">
    <w:altName w:val="宋体"/>
    <w:panose1 w:val="00000000000000000000"/>
    <w:charset w:val="86"/>
    <w:family w:val="auto"/>
    <w:pitch w:val="default"/>
    <w:sig w:usb0="00000000" w:usb1="00000000" w:usb2="00000010" w:usb3="00000000" w:csb0="00040000" w:csb1="00000000"/>
    <w:embedRegular r:id="rId4" w:fontKey="{47C6E0EB-7011-4BFA-ABE1-10FE5158A060}"/>
  </w:font>
  <w:font w:name="仿宋">
    <w:panose1 w:val="02010609060101010101"/>
    <w:charset w:val="86"/>
    <w:family w:val="auto"/>
    <w:pitch w:val="default"/>
    <w:sig w:usb0="800002BF" w:usb1="38CF7CFA" w:usb2="00000016" w:usb3="00000000" w:csb0="00040001" w:csb1="00000000"/>
    <w:embedRegular r:id="rId5" w:fontKey="{0923722E-8BFB-4C87-ADFE-9C993F3DF37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40764A"/>
    <w:rsid w:val="12FD16FD"/>
    <w:rsid w:val="191E18A8"/>
    <w:rsid w:val="1CA74248"/>
    <w:rsid w:val="1ED12DC7"/>
    <w:rsid w:val="1F7B525B"/>
    <w:rsid w:val="27F36A5B"/>
    <w:rsid w:val="2B592D42"/>
    <w:rsid w:val="30862769"/>
    <w:rsid w:val="30ED6026"/>
    <w:rsid w:val="3E294764"/>
    <w:rsid w:val="3F216D5B"/>
    <w:rsid w:val="41795C12"/>
    <w:rsid w:val="434752D4"/>
    <w:rsid w:val="450F39F2"/>
    <w:rsid w:val="455627B7"/>
    <w:rsid w:val="473E600E"/>
    <w:rsid w:val="474655B0"/>
    <w:rsid w:val="489D396D"/>
    <w:rsid w:val="5088190E"/>
    <w:rsid w:val="50901E9F"/>
    <w:rsid w:val="55D07BA4"/>
    <w:rsid w:val="572E0F59"/>
    <w:rsid w:val="57C750E8"/>
    <w:rsid w:val="598343A6"/>
    <w:rsid w:val="602F1439"/>
    <w:rsid w:val="670F0E44"/>
    <w:rsid w:val="67A369D6"/>
    <w:rsid w:val="683E490D"/>
    <w:rsid w:val="699F14B4"/>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2021-10-13T01:47:04Z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EFCA0BBB8C6B4B9CA1FF46AAD4ED4230</vt:lpwstr>
  </property>
</Properties>
</file>