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山东第一医科大学附属青岛眼科医院UPS主机更换项目竞争性磋商文件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bookmarkStart w:id="0" w:name="OLE_LINK35"/>
      <w:bookmarkStart w:id="1" w:name="OLE_LINK36"/>
      <w:r>
        <w:rPr>
          <w:rFonts w:hint="eastAsia"/>
          <w:color w:val="000000" w:themeColor="text1"/>
          <w:sz w:val="28"/>
          <w:szCs w:val="28"/>
          <w14:textFill>
            <w14:solidFill>
              <w14:schemeClr w14:val="tx1"/>
            </w14:solidFill>
          </w14:textFill>
        </w:rPr>
        <w:t>1、在中国境内注册、具有能够独立承担民事责任的企业，具有合法有效的营业执照</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且</w:t>
      </w:r>
      <w:r>
        <w:rPr>
          <w:rFonts w:hint="eastAsia"/>
          <w:b/>
          <w:bCs/>
          <w:color w:val="000000" w:themeColor="text1"/>
          <w:sz w:val="28"/>
          <w:szCs w:val="28"/>
          <w:lang w:val="en-US" w:eastAsia="zh-CN"/>
          <w14:textFill>
            <w14:solidFill>
              <w14:schemeClr w14:val="tx1"/>
            </w14:solidFill>
          </w14:textFill>
        </w:rPr>
        <w:t>经营范围包含净化系统工程维修，有手术室净化系统维修经验</w:t>
      </w:r>
      <w:r>
        <w:rPr>
          <w:rFonts w:hint="eastAsia"/>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2、提供的资格、资质证明文件真实有效；</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3、具有履行合同所必需的人员、设备和专业技术能力；</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4、有依法缴纳税收和社会保障资金的良好记录；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5、参加本次招标活动前三年内，在经营活动中没有重大违法记录；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6、单位负责人为同一人或者存在直接控股、管理关系的不同供应商，不得参加同一合同项下的招标采购活动。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7、符合《中华人民共和国政府采购法》第二十二条规定；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8、遵守《中华人民共和国政府采购法》和《中华人民共和国政府采购法实施条例》及其他相关法律、法规和规章；</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9、具有良好的商业信誉和健全的财务会计制度；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10、符合磋商文件中规定的其他实质性要求；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11、本项目不接受联合体投标。</w:t>
      </w:r>
    </w:p>
    <w:bookmarkEnd w:id="0"/>
    <w:bookmarkEnd w:id="1"/>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color w:val="auto"/>
          <w:sz w:val="28"/>
          <w:szCs w:val="28"/>
        </w:rPr>
      </w:pPr>
      <w:r>
        <w:rPr>
          <w:rFonts w:hint="eastAsia" w:ascii="宋体" w:hAnsi="宋体" w:eastAsia="宋体"/>
          <w:b/>
          <w:color w:val="auto"/>
          <w:sz w:val="28"/>
          <w:szCs w:val="28"/>
        </w:rPr>
        <w:t>*</w:t>
      </w:r>
      <w:r>
        <w:rPr>
          <w:rFonts w:hint="eastAsia"/>
          <w:b/>
          <w:color w:val="auto"/>
          <w:sz w:val="28"/>
          <w:szCs w:val="28"/>
        </w:rPr>
        <w:t>1.3 报价文件（详见附件）</w:t>
      </w:r>
    </w:p>
    <w:p>
      <w:pPr>
        <w:spacing w:line="360" w:lineRule="auto"/>
        <w:ind w:firstLine="560" w:firstLineChars="200"/>
        <w:rPr>
          <w:color w:val="auto"/>
          <w:sz w:val="28"/>
          <w:szCs w:val="28"/>
        </w:rPr>
      </w:pPr>
      <w:r>
        <w:rPr>
          <w:rFonts w:hint="eastAsia"/>
          <w:color w:val="auto"/>
          <w:sz w:val="28"/>
          <w:szCs w:val="28"/>
        </w:rPr>
        <w:t>1.3.1 报价一览表</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2</w:t>
      </w:r>
      <w:r>
        <w:rPr>
          <w:rFonts w:hint="eastAsia"/>
          <w:sz w:val="28"/>
          <w:szCs w:val="28"/>
        </w:rPr>
        <w:t>售后服务内容及响应措施；</w:t>
      </w:r>
    </w:p>
    <w:p>
      <w:pPr>
        <w:spacing w:line="360" w:lineRule="auto"/>
        <w:ind w:firstLine="562" w:firstLineChars="200"/>
        <w:rPr>
          <w:b/>
          <w:sz w:val="28"/>
          <w:szCs w:val="28"/>
        </w:rPr>
      </w:pPr>
      <w:r>
        <w:rPr>
          <w:rFonts w:hint="eastAsia"/>
          <w:b/>
          <w:sz w:val="28"/>
          <w:szCs w:val="28"/>
        </w:rPr>
        <w:t>1.4.</w:t>
      </w:r>
      <w:r>
        <w:rPr>
          <w:rFonts w:hint="eastAsia"/>
          <w:b/>
          <w:sz w:val="28"/>
          <w:szCs w:val="28"/>
          <w:lang w:val="en-US" w:eastAsia="zh-CN"/>
        </w:rPr>
        <w:t>3</w:t>
      </w:r>
      <w:r>
        <w:rPr>
          <w:rFonts w:hint="eastAsia"/>
          <w:b/>
          <w:sz w:val="28"/>
          <w:szCs w:val="28"/>
        </w:rPr>
        <w:t>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8</w:t>
      </w:r>
      <w:r>
        <w:rPr>
          <w:rFonts w:hint="eastAsia"/>
          <w:b/>
          <w:sz w:val="28"/>
          <w:szCs w:val="28"/>
        </w:rPr>
        <w:t>年</w:t>
      </w:r>
      <w:r>
        <w:rPr>
          <w:rFonts w:hint="eastAsia"/>
          <w:b/>
          <w:sz w:val="28"/>
          <w:szCs w:val="28"/>
          <w:lang w:val="en-US" w:eastAsia="zh-CN"/>
        </w:rPr>
        <w:t>9月1日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4</w:t>
      </w:r>
      <w:r>
        <w:rPr>
          <w:rFonts w:hint="eastAsia"/>
          <w:sz w:val="28"/>
          <w:szCs w:val="28"/>
        </w:rPr>
        <w:t>供应商认为需要提交的其他资料。</w:t>
      </w:r>
    </w:p>
    <w:p>
      <w:pPr>
        <w:spacing w:line="400" w:lineRule="exact"/>
        <w:ind w:firstLine="562" w:firstLineChars="200"/>
        <w:rPr>
          <w:b/>
          <w:color w:val="auto"/>
          <w:sz w:val="28"/>
          <w:szCs w:val="28"/>
        </w:rPr>
      </w:pPr>
      <w:r>
        <w:rPr>
          <w:rFonts w:hint="eastAsia"/>
          <w:b/>
          <w:color w:val="auto"/>
          <w:sz w:val="28"/>
          <w:szCs w:val="28"/>
        </w:rPr>
        <w:t>1.5 技术文件</w:t>
      </w:r>
    </w:p>
    <w:p>
      <w:pPr>
        <w:spacing w:line="360" w:lineRule="auto"/>
        <w:ind w:firstLine="560" w:firstLineChars="200"/>
        <w:rPr>
          <w:color w:val="auto"/>
          <w:sz w:val="28"/>
          <w:szCs w:val="28"/>
        </w:rPr>
      </w:pPr>
      <w:r>
        <w:rPr>
          <w:rFonts w:hint="eastAsia"/>
          <w:color w:val="auto"/>
          <w:sz w:val="28"/>
          <w:szCs w:val="28"/>
        </w:rPr>
        <w:t>1.5.1</w:t>
      </w:r>
      <w:r>
        <w:rPr>
          <w:rFonts w:hint="eastAsia"/>
          <w:color w:val="auto"/>
          <w:sz w:val="28"/>
          <w:szCs w:val="28"/>
          <w:lang w:val="en-US" w:eastAsia="zh-CN"/>
        </w:rPr>
        <w:t>服务</w:t>
      </w:r>
      <w:r>
        <w:rPr>
          <w:rFonts w:hint="eastAsia"/>
          <w:color w:val="auto"/>
          <w:sz w:val="28"/>
          <w:szCs w:val="28"/>
        </w:rPr>
        <w:t>方案、技术说明、产品性能描述</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w:t>
      </w:r>
      <w:r>
        <w:rPr>
          <w:rFonts w:hint="eastAsia"/>
          <w:sz w:val="28"/>
          <w:szCs w:val="28"/>
          <w:lang w:val="en-US" w:eastAsia="zh-CN"/>
        </w:rPr>
        <w:t>有权</w:t>
      </w:r>
      <w:r>
        <w:rPr>
          <w:rFonts w:hint="eastAsia"/>
          <w:sz w:val="28"/>
          <w:szCs w:val="28"/>
        </w:rPr>
        <w:t>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color w:val="auto"/>
          <w:sz w:val="28"/>
          <w:szCs w:val="28"/>
        </w:rPr>
      </w:pPr>
      <w:r>
        <w:rPr>
          <w:rFonts w:hint="eastAsia"/>
          <w:color w:val="auto"/>
          <w:sz w:val="28"/>
          <w:szCs w:val="28"/>
        </w:rPr>
        <w:t>5.1报价应为供应商的响应文件中提出的各项支付金额的总和。</w:t>
      </w:r>
    </w:p>
    <w:p>
      <w:pPr>
        <w:spacing w:line="360" w:lineRule="auto"/>
        <w:ind w:firstLine="560" w:firstLineChars="200"/>
        <w:rPr>
          <w:sz w:val="28"/>
          <w:szCs w:val="28"/>
        </w:rPr>
      </w:pPr>
      <w:r>
        <w:rPr>
          <w:rFonts w:hint="eastAsia"/>
          <w:sz w:val="28"/>
          <w:szCs w:val="28"/>
        </w:rPr>
        <w:t>5.</w:t>
      </w:r>
      <w:r>
        <w:rPr>
          <w:rFonts w:hint="eastAsia"/>
          <w:sz w:val="28"/>
          <w:szCs w:val="28"/>
          <w:lang w:val="en-US" w:eastAsia="zh-CN"/>
        </w:rPr>
        <w:t>2</w:t>
      </w:r>
      <w:r>
        <w:rPr>
          <w:rFonts w:hint="eastAsia"/>
          <w:sz w:val="28"/>
          <w:szCs w:val="28"/>
        </w:rPr>
        <w:t xml:space="preserve">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w:t>
      </w:r>
      <w:r>
        <w:rPr>
          <w:rFonts w:hint="eastAsia"/>
          <w:sz w:val="28"/>
          <w:szCs w:val="28"/>
          <w:lang w:val="en-US" w:eastAsia="zh-CN"/>
        </w:rPr>
        <w:t>3</w:t>
      </w:r>
      <w:r>
        <w:rPr>
          <w:rFonts w:hint="eastAsia"/>
          <w:sz w:val="28"/>
          <w:szCs w:val="28"/>
        </w:rPr>
        <w:t xml:space="preserve">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rFonts w:hint="eastAsia"/>
          <w:b/>
          <w:sz w:val="28"/>
          <w:szCs w:val="28"/>
        </w:rPr>
      </w:pPr>
      <w:r>
        <w:rPr>
          <w:rFonts w:hint="eastAsia"/>
          <w:b/>
          <w:sz w:val="28"/>
          <w:szCs w:val="28"/>
        </w:rPr>
        <w:t>第二章  项目说明</w:t>
      </w:r>
    </w:p>
    <w:p>
      <w:pPr>
        <w:ind w:firstLine="420" w:firstLineChars="0"/>
        <w:rPr>
          <w:rFonts w:hint="eastAsia"/>
          <w:sz w:val="28"/>
          <w:szCs w:val="28"/>
          <w:lang w:val="en-US" w:eastAsia="zh-CN"/>
        </w:rPr>
      </w:pPr>
      <w:r>
        <w:rPr>
          <w:rFonts w:hint="eastAsia"/>
          <w:sz w:val="28"/>
          <w:szCs w:val="28"/>
          <w:lang w:val="en-US" w:eastAsia="zh-CN"/>
        </w:rPr>
        <w:t>一、项目概述</w:t>
      </w:r>
    </w:p>
    <w:p>
      <w:pPr>
        <w:ind w:firstLine="420" w:firstLineChars="0"/>
        <w:rPr>
          <w:rFonts w:hint="eastAsia"/>
          <w:sz w:val="28"/>
          <w:szCs w:val="28"/>
          <w:lang w:eastAsia="zh-CN"/>
        </w:rPr>
      </w:pPr>
      <w:r>
        <w:rPr>
          <w:rFonts w:hint="eastAsia"/>
          <w:sz w:val="28"/>
          <w:szCs w:val="28"/>
          <w:lang w:eastAsia="zh-CN"/>
        </w:rPr>
        <w:t>本次改造主要是对科研</w:t>
      </w:r>
      <w:r>
        <w:rPr>
          <w:rFonts w:hint="eastAsia"/>
          <w:sz w:val="28"/>
          <w:szCs w:val="28"/>
          <w:lang w:val="en-US" w:eastAsia="zh-CN"/>
        </w:rPr>
        <w:t>3楼手术室UPS主机进行更换，主要工作项如下：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旧UPS主机设备拆除，安装新UPS主机并调试运行检查（包含辅材），要求施工不能影响手术室正常医疗工作</w:t>
      </w:r>
      <w:bookmarkStart w:id="2" w:name="OLE_LINK16"/>
      <w:bookmarkStart w:id="3" w:name="OLE_LINK20"/>
      <w:bookmarkStart w:id="4" w:name="OLE_LINK21"/>
      <w:bookmarkStart w:id="5" w:name="OLE_LINK18"/>
      <w:bookmarkStart w:id="6" w:name="OLE_LINK15"/>
      <w:bookmarkStart w:id="7" w:name="OLE_LINK17"/>
      <w:bookmarkStart w:id="8" w:name="OLE_LINK19"/>
      <w:r>
        <w:rPr>
          <w:rFonts w:hint="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供货期：30天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质保期：1年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u w:val="none"/>
          <w:lang w:val="en-US" w:eastAsia="zh-CN"/>
        </w:rPr>
      </w:pPr>
      <w:r>
        <w:rPr>
          <w:rFonts w:hint="eastAsia"/>
          <w:sz w:val="28"/>
          <w:szCs w:val="28"/>
          <w:u w:val="none"/>
          <w:lang w:val="en-US" w:eastAsia="zh-CN"/>
        </w:rPr>
        <w:t>技术要求</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1、EXM2 100 KVA 高频塔式UPS主机1套品牌：</w:t>
      </w:r>
      <w:r>
        <w:rPr>
          <w:rFonts w:hint="eastAsia"/>
          <w:sz w:val="28"/>
          <w:szCs w:val="28"/>
          <w:u w:val="none"/>
          <w:lang w:val="en-US" w:eastAsia="zh-CN"/>
        </w:rPr>
        <w:t>相当于</w:t>
      </w:r>
      <w:r>
        <w:rPr>
          <w:rFonts w:hint="default"/>
          <w:sz w:val="28"/>
          <w:szCs w:val="28"/>
          <w:u w:val="none"/>
          <w:lang w:val="en-US" w:eastAsia="zh-CN"/>
        </w:rPr>
        <w:t>维谛（艾默生）</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★系统双变换效率高达97%，30%、50%负载运行效率≧97%。</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★支持增强ECO模式，该模式下，逆变器为旁路提供无功补偿及有源滤波功能。运行效率高达98.5%，输入THDi&lt;5%,输入pf&gt;0.99。</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采用风道隔离设计，避免湿尘导致敏感元器件拉弧、短路。</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★UPS需标准内置维修旁路开关，便于系统故障后维护。</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采用9寸彩色触摸屏，支持单机、并机系统运行数据和状态统一监控，支持并机系统一键开/关机功能。</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★主机支持操作风险提示，避免人为误操作，引起系统掉电和故障，</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★输出采用SCR进行切换，确保系统切换可靠性</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★UPS电气柜内功率模组交/直流端口并联要求采用母排汇流方式，禁止电缆+接线端子方式</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★功率单元内部冗余，支持插拔设计，单个模组故障不影响其它模组正常工作</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★主机可支持靠墙安装。</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标产品的官网链接彩页、彩页相关功能说明截图进行说明。</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★电池无需配备中线，无直流环流，提高系统运行的稳定性；</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2、施工现场安全防护、防尘防护，在规定的范围施工，保护好周边环境及公共设施</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3、工程所用材料，必须选用质量达标，对人和环境无毒无害的绿色环保材料。</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4、必须严格按照国家工程技术规范标准施工，并达到国家工程质量验收规范标准。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u w:val="none"/>
          <w:lang w:val="en-US" w:eastAsia="zh-CN"/>
        </w:rPr>
      </w:pPr>
      <w:r>
        <w:rPr>
          <w:rFonts w:hint="default"/>
          <w:sz w:val="28"/>
          <w:szCs w:val="28"/>
          <w:u w:val="none"/>
          <w:lang w:val="en-US" w:eastAsia="zh-CN"/>
        </w:rPr>
        <w:t>5、施工现场要求整洁、有序，无违章施工，安全文明施工，施工期间不影响正常营业环境。</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both"/>
        <w:textAlignment w:val="auto"/>
        <w:rPr>
          <w:sz w:val="28"/>
          <w:szCs w:val="28"/>
        </w:rPr>
      </w:pPr>
      <w:r>
        <w:rPr>
          <w:rFonts w:hint="default"/>
          <w:sz w:val="28"/>
          <w:szCs w:val="28"/>
          <w:u w:val="none"/>
          <w:lang w:val="en-US" w:eastAsia="zh-CN"/>
        </w:rPr>
        <w:t>6、不得与职工、患者发生争执</w:t>
      </w:r>
      <w:r>
        <w:rPr>
          <w:rFonts w:hint="eastAsia"/>
          <w:sz w:val="28"/>
          <w:szCs w:val="28"/>
          <w:u w:val="none"/>
          <w:lang w:val="en-US" w:eastAsia="zh-CN"/>
        </w:rPr>
        <w:t>。</w:t>
      </w:r>
    </w:p>
    <w:p>
      <w:pPr>
        <w:widowControl/>
        <w:jc w:val="center"/>
        <w:rPr>
          <w:rFonts w:hint="eastAsia" w:cs="Helvetica" w:asciiTheme="minorEastAsia" w:hAnsiTheme="minorEastAsia"/>
          <w:b/>
          <w:color w:val="333333"/>
          <w:sz w:val="28"/>
          <w:szCs w:val="28"/>
        </w:rPr>
      </w:pPr>
      <w:r>
        <w:rPr>
          <w:rFonts w:hint="eastAsia" w:cs="Helvetica" w:asciiTheme="minorEastAsia" w:hAnsiTheme="minorEastAsia"/>
          <w:b/>
          <w:color w:val="333333"/>
          <w:sz w:val="28"/>
          <w:szCs w:val="28"/>
        </w:rPr>
        <w:t>第三章  评分标准</w:t>
      </w:r>
    </w:p>
    <w:tbl>
      <w:tblPr>
        <w:tblStyle w:val="9"/>
        <w:tblpPr w:leftFromText="180" w:rightFromText="180" w:vertAnchor="text" w:horzAnchor="page" w:tblpX="1986" w:tblpY="1025"/>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535" w:type="dxa"/>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评分项目及分值</w:t>
            </w:r>
          </w:p>
        </w:tc>
        <w:tc>
          <w:tcPr>
            <w:tcW w:w="6078" w:type="dxa"/>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投标报价（30分）</w:t>
            </w:r>
          </w:p>
        </w:tc>
        <w:tc>
          <w:tcPr>
            <w:tcW w:w="6078"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shd w:val="clear" w:color="auto" w:fill="FFFFFF"/>
              </w:rPr>
              <w:t>满足招标文件要求且投标价格最低的有效投标报价为评标基准价，其价格分为满分30分。其他供应商的价格分统一按照下列公式计算：投标报价得分=（评标基准价/投标报价）×30，结果保留两位小数。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企业业绩（</w:t>
            </w:r>
            <w:r>
              <w:rPr>
                <w:rFonts w:asciiTheme="minorEastAsia" w:hAnsiTheme="minorEastAsia" w:cstheme="minorEastAsia"/>
                <w:szCs w:val="21"/>
              </w:rPr>
              <w:t>8</w:t>
            </w:r>
            <w:r>
              <w:rPr>
                <w:rFonts w:hint="eastAsia" w:asciiTheme="minorEastAsia" w:hAnsiTheme="minorEastAsia" w:cstheme="minorEastAsia"/>
                <w:szCs w:val="21"/>
              </w:rPr>
              <w:t>分）</w:t>
            </w:r>
          </w:p>
        </w:tc>
        <w:tc>
          <w:tcPr>
            <w:tcW w:w="6078" w:type="dxa"/>
            <w:vAlign w:val="center"/>
          </w:tcPr>
          <w:p>
            <w:pPr>
              <w:rPr>
                <w:rFonts w:asciiTheme="minorEastAsia" w:hAnsiTheme="minorEastAsia" w:cstheme="minorEastAsia"/>
                <w:szCs w:val="21"/>
              </w:rPr>
            </w:pPr>
            <w:r>
              <w:rPr>
                <w:rFonts w:hint="eastAsia" w:asciiTheme="minorEastAsia" w:hAnsiTheme="minorEastAsia" w:cstheme="minorEastAsia"/>
                <w:color w:val="auto"/>
                <w:szCs w:val="21"/>
                <w:shd w:val="clear" w:color="auto" w:fill="FFFFFF"/>
              </w:rPr>
              <w:t>供应商2</w:t>
            </w:r>
            <w:r>
              <w:rPr>
                <w:rFonts w:asciiTheme="minorEastAsia" w:hAnsiTheme="minorEastAsia" w:cstheme="minorEastAsia"/>
                <w:color w:val="auto"/>
                <w:szCs w:val="21"/>
                <w:shd w:val="clear" w:color="auto" w:fill="FFFFFF"/>
              </w:rPr>
              <w:t>01</w:t>
            </w:r>
            <w:r>
              <w:rPr>
                <w:rFonts w:hint="eastAsia" w:asciiTheme="minorEastAsia" w:hAnsiTheme="minorEastAsia" w:cstheme="minorEastAsia"/>
                <w:color w:val="auto"/>
                <w:szCs w:val="21"/>
                <w:shd w:val="clear" w:color="auto" w:fill="FFFFFF"/>
                <w:lang w:val="en-US" w:eastAsia="zh-CN"/>
              </w:rPr>
              <w:t>9</w:t>
            </w:r>
            <w:r>
              <w:rPr>
                <w:rFonts w:hint="eastAsia" w:asciiTheme="minorEastAsia" w:hAnsiTheme="minorEastAsia" w:cstheme="minorEastAsia"/>
                <w:color w:val="auto"/>
                <w:szCs w:val="21"/>
                <w:shd w:val="clear" w:color="auto" w:fill="FFFFFF"/>
              </w:rPr>
              <w:t>年</w:t>
            </w:r>
            <w:r>
              <w:rPr>
                <w:rFonts w:hint="eastAsia" w:asciiTheme="minorEastAsia" w:hAnsiTheme="minorEastAsia" w:cstheme="minorEastAsia"/>
                <w:color w:val="auto"/>
                <w:szCs w:val="21"/>
                <w:shd w:val="clear" w:color="auto" w:fill="FFFFFF"/>
                <w:lang w:val="en-US" w:eastAsia="zh-CN"/>
              </w:rPr>
              <w:t>5</w:t>
            </w:r>
            <w:r>
              <w:rPr>
                <w:rFonts w:hint="eastAsia" w:asciiTheme="minorEastAsia" w:hAnsiTheme="minorEastAsia" w:cstheme="minorEastAsia"/>
                <w:color w:val="auto"/>
                <w:szCs w:val="21"/>
                <w:shd w:val="clear" w:color="auto" w:fill="FFFFFF"/>
              </w:rPr>
              <w:t>月1日以</w:t>
            </w:r>
            <w:r>
              <w:rPr>
                <w:rFonts w:hint="eastAsia" w:asciiTheme="minorEastAsia" w:hAnsiTheme="minorEastAsia" w:cstheme="minorEastAsia"/>
                <w:color w:val="000000"/>
                <w:szCs w:val="21"/>
                <w:shd w:val="clear" w:color="auto" w:fill="FFFFFF"/>
              </w:rPr>
              <w:t>后签订的同类项目业绩（合同内容至少包含层流滤网更换清洁或者层流机组设备保修项目），每提供</w:t>
            </w:r>
            <w:r>
              <w:rPr>
                <w:rFonts w:asciiTheme="minorEastAsia" w:hAnsiTheme="minorEastAsia" w:cstheme="minorEastAsia"/>
                <w:color w:val="000000"/>
                <w:szCs w:val="21"/>
                <w:shd w:val="clear" w:color="auto" w:fill="FFFFFF"/>
              </w:rPr>
              <w:t>1</w:t>
            </w:r>
            <w:r>
              <w:rPr>
                <w:rFonts w:hint="eastAsia" w:asciiTheme="minorEastAsia" w:hAnsiTheme="minorEastAsia" w:cstheme="minorEastAsia"/>
                <w:color w:val="000000"/>
                <w:szCs w:val="21"/>
                <w:shd w:val="clear" w:color="auto" w:fill="FFFFFF"/>
              </w:rPr>
              <w:t>份得2分，最高</w:t>
            </w:r>
            <w:r>
              <w:rPr>
                <w:rFonts w:asciiTheme="minorEastAsia" w:hAnsiTheme="minorEastAsia" w:cstheme="minorEastAsia"/>
                <w:color w:val="000000"/>
                <w:szCs w:val="21"/>
                <w:shd w:val="clear" w:color="auto" w:fill="FFFFFF"/>
              </w:rPr>
              <w:t>8</w:t>
            </w:r>
            <w:r>
              <w:rPr>
                <w:rFonts w:hint="eastAsia" w:asciiTheme="minorEastAsia" w:hAnsiTheme="minorEastAsia" w:cstheme="minorEastAsia"/>
                <w:color w:val="000000"/>
                <w:szCs w:val="21"/>
                <w:shd w:val="clear" w:color="auto" w:fill="FFFFFF"/>
              </w:rPr>
              <w:t>分。</w:t>
            </w:r>
            <w:r>
              <w:rPr>
                <w:rFonts w:hint="eastAsia" w:asciiTheme="minorEastAsia" w:hAnsiTheme="minorEastAsia" w:cstheme="minorEastAsia"/>
                <w:b/>
                <w:color w:val="000000"/>
                <w:szCs w:val="21"/>
                <w:shd w:val="clear" w:color="auto" w:fill="FFFFFF"/>
              </w:rPr>
              <w:t>（需提供合同原件，否则不得分）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企业资质（3分）</w:t>
            </w:r>
          </w:p>
        </w:tc>
        <w:tc>
          <w:tcPr>
            <w:tcW w:w="6078" w:type="dxa"/>
            <w:vAlign w:val="center"/>
          </w:tcPr>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供应商具有</w:t>
            </w:r>
            <w:r>
              <w:rPr>
                <w:rFonts w:asciiTheme="minorEastAsia" w:hAnsiTheme="minorEastAsia" w:cstheme="minorEastAsia"/>
                <w:color w:val="000000"/>
                <w:szCs w:val="21"/>
                <w:shd w:val="clear" w:color="auto" w:fill="FFFFFF"/>
              </w:rPr>
              <w:t>ISO9000</w:t>
            </w:r>
            <w:r>
              <w:rPr>
                <w:rFonts w:hint="eastAsia" w:asciiTheme="minorEastAsia" w:hAnsiTheme="minorEastAsia" w:cstheme="minorEastAsia"/>
                <w:color w:val="000000"/>
                <w:szCs w:val="21"/>
                <w:shd w:val="clear" w:color="auto" w:fill="FFFFFF"/>
              </w:rPr>
              <w:t>系列质量管理体系认证、</w:t>
            </w:r>
            <w:r>
              <w:rPr>
                <w:rFonts w:asciiTheme="minorEastAsia" w:hAnsiTheme="minorEastAsia" w:cstheme="minorEastAsia"/>
                <w:color w:val="000000"/>
                <w:szCs w:val="21"/>
                <w:shd w:val="clear" w:color="auto" w:fill="FFFFFF"/>
              </w:rPr>
              <w:t>IS018000</w:t>
            </w:r>
            <w:r>
              <w:rPr>
                <w:rFonts w:hint="eastAsia" w:asciiTheme="minorEastAsia" w:hAnsiTheme="minorEastAsia" w:cstheme="minorEastAsia"/>
                <w:color w:val="000000"/>
                <w:szCs w:val="21"/>
                <w:shd w:val="clear" w:color="auto" w:fill="FFFFFF"/>
              </w:rPr>
              <w:t>系列职业健康安全认证、</w:t>
            </w:r>
            <w:r>
              <w:rPr>
                <w:rFonts w:asciiTheme="minorEastAsia" w:hAnsiTheme="minorEastAsia" w:cstheme="minorEastAsia"/>
                <w:color w:val="000000"/>
                <w:szCs w:val="21"/>
                <w:shd w:val="clear" w:color="auto" w:fill="FFFFFF"/>
              </w:rPr>
              <w:t>ISO14000</w:t>
            </w:r>
            <w:r>
              <w:rPr>
                <w:rFonts w:hint="eastAsia" w:asciiTheme="minorEastAsia" w:hAnsiTheme="minorEastAsia" w:cstheme="minorEastAsia"/>
                <w:color w:val="000000"/>
                <w:szCs w:val="21"/>
                <w:shd w:val="clear" w:color="auto" w:fill="FFFFFF"/>
              </w:rPr>
              <w:t>系列环境认证。每一个证书得1分，最高3分。（</w:t>
            </w:r>
            <w:r>
              <w:rPr>
                <w:rFonts w:hint="eastAsia" w:asciiTheme="minorEastAsia" w:hAnsiTheme="minorEastAsia" w:cstheme="minorEastAsia"/>
                <w:b/>
                <w:color w:val="000000"/>
                <w:szCs w:val="21"/>
                <w:shd w:val="clear" w:color="auto" w:fill="FFFFFF"/>
              </w:rPr>
              <w:t>需提供证书原件，否则不得分</w:t>
            </w:r>
            <w:r>
              <w:rPr>
                <w:rFonts w:hint="eastAsia" w:asciiTheme="minorEastAsia" w:hAnsiTheme="minorEastAsia" w:cstheme="minorEastAsia"/>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服务方案（24分）</w:t>
            </w:r>
          </w:p>
        </w:tc>
        <w:tc>
          <w:tcPr>
            <w:tcW w:w="6078" w:type="dxa"/>
            <w:vAlign w:val="center"/>
          </w:tcPr>
          <w:p>
            <w:pPr>
              <w:autoSpaceDE w:val="0"/>
              <w:autoSpaceDN w:val="0"/>
              <w:adjustRightInd w:val="0"/>
              <w:snapToGrid w:val="0"/>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1、服务方案符合招标文件要求且详尽完备的，由评委在0-16分之间酌情打分；</w:t>
            </w:r>
          </w:p>
          <w:p>
            <w:pPr>
              <w:autoSpaceDE w:val="0"/>
              <w:autoSpaceDN w:val="0"/>
              <w:adjustRightInd w:val="0"/>
              <w:snapToGrid w:val="0"/>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2、服务流程合理、管理措施完备的，由评委在0-4分之间酌情打分；</w:t>
            </w:r>
          </w:p>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3、管理科学、服务制度完备的，由评委在0-4分之间酌情打分。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服务保证措施（10分）</w:t>
            </w:r>
          </w:p>
        </w:tc>
        <w:tc>
          <w:tcPr>
            <w:tcW w:w="6078" w:type="dxa"/>
            <w:vAlign w:val="center"/>
          </w:tcPr>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供应商组织机构及服务质量保证措施、保密措施等能做到机构健全，建立完整的工作台帐、工作信息收集、反馈等客户质量保证措施，由评委在0-10分之间酌情打分。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应急预案（5分）</w:t>
            </w:r>
          </w:p>
        </w:tc>
        <w:tc>
          <w:tcPr>
            <w:tcW w:w="6078" w:type="dxa"/>
            <w:vAlign w:val="center"/>
          </w:tcPr>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根据供应商提供针对各种突发状况的应急处理措施，由评委在0-5分之间酌情打分。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服务承诺（5分）</w:t>
            </w:r>
          </w:p>
        </w:tc>
        <w:tc>
          <w:tcPr>
            <w:tcW w:w="6078" w:type="dxa"/>
            <w:vAlign w:val="center"/>
          </w:tcPr>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服务承诺具有实质性内容，针对性、操作性强，由评委在0-5分之间酌情打分。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人员配备情况（5分）</w:t>
            </w:r>
          </w:p>
        </w:tc>
        <w:tc>
          <w:tcPr>
            <w:tcW w:w="6078" w:type="dxa"/>
            <w:vAlign w:val="center"/>
          </w:tcPr>
          <w:p>
            <w:pP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拟投入人员组织结构、人员配备和保障措施合理，能够满足项目要求，酌情在0-5分之间打分。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售后服务能力（5分）</w:t>
            </w:r>
          </w:p>
        </w:tc>
        <w:tc>
          <w:tcPr>
            <w:tcW w:w="6078" w:type="dxa"/>
            <w:vAlign w:val="center"/>
          </w:tcPr>
          <w:p>
            <w:pPr>
              <w:rPr>
                <w:rFonts w:hint="eastAsia" w:asciiTheme="minorEastAsia" w:hAnsiTheme="minorEastAsia" w:eastAsiaTheme="minorEastAsia" w:cstheme="minorEastAsia"/>
                <w:szCs w:val="21"/>
                <w:lang w:eastAsia="zh-CN"/>
              </w:rPr>
            </w:pPr>
            <w:r>
              <w:rPr>
                <w:rFonts w:hint="eastAsia" w:asciiTheme="minorEastAsia" w:hAnsiTheme="minorEastAsia" w:cstheme="minorEastAsia"/>
                <w:color w:val="000000"/>
                <w:szCs w:val="21"/>
                <w:shd w:val="clear" w:color="auto" w:fill="FFFFFF"/>
              </w:rPr>
              <w:t>具有较强的本地化服务能力，并配有较强的专业技术队伍，要合理安排响应服务。根据售后的响应时间、故障修复时间、售后服务的保障措施、质保时间等方面由评委进行分析比较、评议，在0-5分之间综合打分</w:t>
            </w:r>
            <w:r>
              <w:rPr>
                <w:rFonts w:hint="eastAsia" w:asciiTheme="minorEastAsia" w:hAnsiTheme="minorEastAsia" w:cstheme="minorEastAsia"/>
                <w:color w:val="00000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优惠条件及合理化建议（</w:t>
            </w:r>
            <w:r>
              <w:rPr>
                <w:rFonts w:asciiTheme="minorEastAsia" w:hAnsiTheme="minorEastAsia" w:cstheme="minorEastAsia"/>
                <w:szCs w:val="21"/>
              </w:rPr>
              <w:t>5</w:t>
            </w:r>
            <w:r>
              <w:rPr>
                <w:rFonts w:hint="eastAsia" w:asciiTheme="minorEastAsia" w:hAnsiTheme="minorEastAsia" w:cstheme="minorEastAsia"/>
                <w:szCs w:val="21"/>
              </w:rPr>
              <w:t>分）</w:t>
            </w:r>
          </w:p>
        </w:tc>
        <w:tc>
          <w:tcPr>
            <w:tcW w:w="6078" w:type="dxa"/>
            <w:vAlign w:val="center"/>
          </w:tcPr>
          <w:p>
            <w:pPr>
              <w:rPr>
                <w:rFonts w:asciiTheme="minorEastAsia" w:hAnsiTheme="minorEastAsia" w:cstheme="minorEastAsia"/>
                <w:szCs w:val="21"/>
              </w:rPr>
            </w:pPr>
            <w:r>
              <w:rPr>
                <w:rFonts w:hint="eastAsia" w:asciiTheme="minorEastAsia" w:hAnsiTheme="minorEastAsia" w:cstheme="minorEastAsia"/>
                <w:szCs w:val="21"/>
              </w:rPr>
              <w:t>根据投标人给予的实质性优惠条件和提出的合理化建议，得0</w:t>
            </w:r>
            <w:r>
              <w:rPr>
                <w:rFonts w:asciiTheme="minorEastAsia" w:hAnsiTheme="minorEastAsia" w:cstheme="minorEastAsia"/>
                <w:szCs w:val="21"/>
              </w:rPr>
              <w:t>-5</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53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合计</w:t>
            </w:r>
          </w:p>
        </w:tc>
        <w:tc>
          <w:tcPr>
            <w:tcW w:w="607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r>
              <w:rPr>
                <w:rFonts w:asciiTheme="minorEastAsia" w:hAnsiTheme="minorEastAsia" w:cstheme="minorEastAsia"/>
                <w:szCs w:val="21"/>
              </w:rPr>
              <w:t>00</w:t>
            </w:r>
            <w:r>
              <w:rPr>
                <w:rFonts w:hint="eastAsia" w:asciiTheme="minorEastAsia" w:hAnsiTheme="minorEastAsia" w:cstheme="minorEastAsia"/>
                <w:szCs w:val="21"/>
              </w:rPr>
              <w:t>分</w:t>
            </w:r>
          </w:p>
        </w:tc>
      </w:tr>
    </w:tbl>
    <w:p>
      <w:pPr>
        <w:widowControl/>
        <w:jc w:val="center"/>
        <w:rPr>
          <w:rFonts w:hint="eastAsia"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bookmarkEnd w:id="2"/>
    <w:bookmarkEnd w:id="3"/>
    <w:bookmarkEnd w:id="4"/>
    <w:bookmarkEnd w:id="5"/>
    <w:bookmarkEnd w:id="6"/>
    <w:bookmarkEnd w:id="7"/>
    <w:bookmarkEnd w:id="8"/>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bookmarkStart w:id="9" w:name="_GoBack"/>
      <w:bookmarkEnd w:id="9"/>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五</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两</w:t>
      </w:r>
      <w:r>
        <w:rPr>
          <w:rFonts w:hint="eastAsia"/>
          <w:b/>
          <w:sz w:val="28"/>
          <w:szCs w:val="28"/>
        </w:rPr>
        <w:t>年同类业绩一览表</w:t>
      </w:r>
    </w:p>
    <w:p>
      <w:pPr>
        <w:pStyle w:val="13"/>
        <w:ind w:left="720" w:firstLine="562"/>
        <w:jc w:val="center"/>
        <w:rPr>
          <w:b/>
          <w:sz w:val="28"/>
          <w:szCs w:val="28"/>
        </w:rPr>
      </w:pPr>
      <w:r>
        <w:rPr>
          <w:rFonts w:hint="eastAsia"/>
          <w:b/>
          <w:sz w:val="28"/>
          <w:szCs w:val="28"/>
        </w:rPr>
        <w:t>（201</w:t>
      </w:r>
      <w:r>
        <w:rPr>
          <w:rFonts w:hint="eastAsia"/>
          <w:b/>
          <w:sz w:val="28"/>
          <w:szCs w:val="28"/>
          <w:lang w:val="en-US" w:eastAsia="zh-CN"/>
        </w:rPr>
        <w:t>9</w:t>
      </w:r>
      <w:r>
        <w:rPr>
          <w:rFonts w:hint="eastAsia"/>
          <w:b/>
          <w:sz w:val="28"/>
          <w:szCs w:val="28"/>
        </w:rPr>
        <w:t>年</w:t>
      </w:r>
      <w:r>
        <w:rPr>
          <w:rFonts w:hint="eastAsia"/>
          <w:b/>
          <w:sz w:val="28"/>
          <w:szCs w:val="28"/>
          <w:lang w:val="en-US" w:eastAsia="zh-CN"/>
        </w:rPr>
        <w:t>9</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两</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六</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七</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w:t>
      </w:r>
      <w:r>
        <w:rPr>
          <w:rFonts w:hint="eastAsia"/>
          <w:sz w:val="28"/>
          <w:szCs w:val="28"/>
          <w:lang w:val="en-US" w:eastAsia="zh-CN"/>
        </w:rPr>
        <w:t>八</w:t>
      </w:r>
      <w:r>
        <w:rPr>
          <w:rFonts w:hint="eastAsia"/>
          <w:sz w:val="28"/>
          <w:szCs w:val="28"/>
        </w:rPr>
        <w:t>：</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731987-FDFB-4DCD-8374-602E0020B3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FAFACB69-F1BA-4066-B3A4-F6D747C12DC1}"/>
  </w:font>
  <w:font w:name="Helvetica">
    <w:altName w:val="Arial"/>
    <w:panose1 w:val="020B0604020202020204"/>
    <w:charset w:val="00"/>
    <w:family w:val="swiss"/>
    <w:pitch w:val="default"/>
    <w:sig w:usb0="00000000" w:usb1="00000000" w:usb2="00000000" w:usb3="00000000" w:csb0="00000001" w:csb1="00000000"/>
    <w:embedRegular r:id="rId3" w:fontKey="{4DEB216B-8C49-4E43-B5C1-0D19BAB94394}"/>
  </w:font>
  <w:font w:name="Heiti SC Light">
    <w:altName w:val="宋体"/>
    <w:panose1 w:val="00000000000000000000"/>
    <w:charset w:val="86"/>
    <w:family w:val="auto"/>
    <w:pitch w:val="default"/>
    <w:sig w:usb0="00000000" w:usb1="00000000" w:usb2="00000010" w:usb3="00000000" w:csb0="00040000" w:csb1="00000000"/>
    <w:embedRegular r:id="rId4" w:fontKey="{3C3209F8-2894-40C6-884F-47A3E5DD324E}"/>
  </w:font>
  <w:font w:name="仿宋">
    <w:panose1 w:val="02010609060101010101"/>
    <w:charset w:val="86"/>
    <w:family w:val="auto"/>
    <w:pitch w:val="default"/>
    <w:sig w:usb0="800002BF" w:usb1="38CF7CFA" w:usb2="00000016" w:usb3="00000000" w:csb0="00040001" w:csb1="00000000"/>
    <w:embedRegular r:id="rId5" w:fontKey="{FE3C1C97-965D-4F27-B81D-4C4765D4112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9B876"/>
    <w:multiLevelType w:val="singleLevel"/>
    <w:tmpl w:val="0C29B876"/>
    <w:lvl w:ilvl="0" w:tentative="0">
      <w:start w:val="2"/>
      <w:numFmt w:val="chineseCounting"/>
      <w:suff w:val="nothing"/>
      <w:lvlText w:val="%1、"/>
      <w:lvlJc w:val="left"/>
      <w:rPr>
        <w:rFonts w:hint="eastAsia"/>
      </w:rPr>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EE5261"/>
    <w:rsid w:val="12FD16FD"/>
    <w:rsid w:val="191E18A8"/>
    <w:rsid w:val="1CA74248"/>
    <w:rsid w:val="1ED12DC7"/>
    <w:rsid w:val="1F7B525B"/>
    <w:rsid w:val="27F36A5B"/>
    <w:rsid w:val="2B592D42"/>
    <w:rsid w:val="30862769"/>
    <w:rsid w:val="30ED6026"/>
    <w:rsid w:val="3E294764"/>
    <w:rsid w:val="41795C12"/>
    <w:rsid w:val="434752D4"/>
    <w:rsid w:val="450F39F2"/>
    <w:rsid w:val="455627B7"/>
    <w:rsid w:val="473E600E"/>
    <w:rsid w:val="474655B0"/>
    <w:rsid w:val="489D396D"/>
    <w:rsid w:val="50901E9F"/>
    <w:rsid w:val="572E0F59"/>
    <w:rsid w:val="57C750E8"/>
    <w:rsid w:val="598343A6"/>
    <w:rsid w:val="602F1439"/>
    <w:rsid w:val="670F0E44"/>
    <w:rsid w:val="67401904"/>
    <w:rsid w:val="67A369D6"/>
    <w:rsid w:val="683E490D"/>
    <w:rsid w:val="699F14B4"/>
    <w:rsid w:val="6B7C41CF"/>
    <w:rsid w:val="6C4760FC"/>
    <w:rsid w:val="6CA170BA"/>
    <w:rsid w:val="6D95366F"/>
    <w:rsid w:val="6E6A35B9"/>
    <w:rsid w:val="753F15B0"/>
    <w:rsid w:val="76004107"/>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 w:type="paragraph" w:customStyle="1" w:styleId="18">
    <w:name w:val="Normal_8"/>
    <w:qFormat/>
    <w:uiPriority w:val="0"/>
    <w:pPr>
      <w:spacing w:before="120" w:after="240"/>
      <w:jc w:val="both"/>
    </w:pPr>
    <w:rPr>
      <w:rFonts w:asciiTheme="minorHAnsi" w:hAnsiTheme="minorHAnsi" w:eastAsiaTheme="minorEastAsia" w:cstheme="minorBidi"/>
      <w:kern w:val="0"/>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2</TotalTime>
  <ScaleCrop>false</ScaleCrop>
  <LinksUpToDate>false</LinksUpToDate>
  <CharactersWithSpaces>7298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2021-09-30T00:41:00Z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556ADD2B00CD48878685974EDF038771</vt:lpwstr>
  </property>
</Properties>
</file>