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t>山东第一医科大学附属青岛眼科医院人才公寓厨房、卫生间等配套设施项目竞争性磋商文件</w:t>
      </w:r>
    </w:p>
    <w:p>
      <w:pPr>
        <w:jc w:val="center"/>
        <w:rPr>
          <w:rFonts w:hint="default"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pPr>
    </w:p>
    <w:p>
      <w:pPr>
        <w:pStyle w:val="13"/>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rFonts w:hint="default" w:eastAsiaTheme="minorEastAsia"/>
          <w:sz w:val="28"/>
          <w:szCs w:val="28"/>
          <w:lang w:val="en-US" w:eastAsia="zh-CN"/>
        </w:rPr>
      </w:pPr>
      <w:bookmarkStart w:id="0" w:name="OLE_LINK36"/>
      <w:bookmarkStart w:id="1" w:name="OLE_LINK35"/>
      <w:r>
        <w:rPr>
          <w:rFonts w:hint="eastAsia"/>
          <w:sz w:val="28"/>
          <w:szCs w:val="28"/>
        </w:rPr>
        <w:t>1、在中国境内注册、具有能够独立承担民事责任的企业，具有合法有效的营业执照</w:t>
      </w:r>
      <w:r>
        <w:rPr>
          <w:rFonts w:hint="eastAsia"/>
          <w:sz w:val="28"/>
          <w:szCs w:val="28"/>
          <w:lang w:eastAsia="zh-CN"/>
        </w:rPr>
        <w:t>，</w:t>
      </w:r>
      <w:r>
        <w:rPr>
          <w:rFonts w:hint="eastAsia"/>
          <w:sz w:val="28"/>
          <w:szCs w:val="28"/>
          <w:lang w:val="en-US" w:eastAsia="zh-CN"/>
        </w:rPr>
        <w:t>经营范围包含</w:t>
      </w:r>
      <w:r>
        <w:rPr>
          <w:rFonts w:hint="eastAsia" w:asciiTheme="minorEastAsia" w:hAnsiTheme="minorEastAsia" w:cstheme="minorEastAsia"/>
          <w:kern w:val="2"/>
          <w:sz w:val="28"/>
          <w:szCs w:val="28"/>
          <w:lang w:val="en-US" w:eastAsia="zh-CN" w:bidi="ar-SA"/>
        </w:rPr>
        <w:t>装饰装修经营项目；</w:t>
      </w:r>
    </w:p>
    <w:p>
      <w:pPr>
        <w:ind w:firstLine="560" w:firstLineChars="200"/>
        <w:jc w:val="left"/>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bookmarkEnd w:id="0"/>
      <w:bookmarkEnd w:id="1"/>
    </w:p>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201</w:t>
      </w:r>
      <w:r>
        <w:rPr>
          <w:b/>
          <w:sz w:val="28"/>
          <w:szCs w:val="28"/>
        </w:rPr>
        <w:t>9</w:t>
      </w:r>
      <w:r>
        <w:rPr>
          <w:rFonts w:hint="eastAsia"/>
          <w:b/>
          <w:sz w:val="28"/>
          <w:szCs w:val="28"/>
        </w:rPr>
        <w:t xml:space="preserve"> 年度</w:t>
      </w:r>
      <w:r>
        <w:rPr>
          <w:rFonts w:hint="eastAsia"/>
          <w:b/>
          <w:sz w:val="28"/>
          <w:szCs w:val="28"/>
          <w:lang w:val="en-US" w:eastAsia="zh-CN"/>
        </w:rPr>
        <w:t>或2020年度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1.3.2 工程量清单报价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2" w:firstLineChars="200"/>
        <w:rPr>
          <w:b/>
          <w:sz w:val="28"/>
          <w:szCs w:val="28"/>
        </w:rPr>
      </w:pPr>
      <w:r>
        <w:rPr>
          <w:rFonts w:hint="eastAsia"/>
          <w:b/>
          <w:sz w:val="28"/>
          <w:szCs w:val="28"/>
        </w:rPr>
        <w:t>*1.4.2工期及工程质保期等（不能低于磋商文件要求）；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8</w:t>
      </w:r>
      <w:r>
        <w:rPr>
          <w:rFonts w:hint="eastAsia"/>
          <w:b/>
          <w:sz w:val="28"/>
          <w:szCs w:val="28"/>
        </w:rPr>
        <w:t>年</w:t>
      </w:r>
      <w:r>
        <w:rPr>
          <w:rFonts w:hint="eastAsia"/>
          <w:b/>
          <w:sz w:val="28"/>
          <w:szCs w:val="28"/>
          <w:lang w:val="en-US" w:eastAsia="zh-CN"/>
        </w:rPr>
        <w:t>1月1日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f.项目管理班子的人员岗位职责、分工；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h.文明施工、文物保护体系及保证措施；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1.5.2响应偏离表（详见附件）</w:t>
      </w:r>
    </w:p>
    <w:p>
      <w:pPr>
        <w:spacing w:line="360" w:lineRule="auto"/>
        <w:ind w:firstLine="560" w:firstLineChars="200"/>
        <w:rPr>
          <w:sz w:val="28"/>
          <w:szCs w:val="28"/>
        </w:rPr>
      </w:pPr>
      <w:r>
        <w:rPr>
          <w:rFonts w:hint="eastAsia"/>
          <w:sz w:val="28"/>
          <w:szCs w:val="28"/>
        </w:rPr>
        <w:t>1.5.3供应商认为需要提供的其他资料。</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w:t>
      </w:r>
      <w:r>
        <w:rPr>
          <w:rFonts w:hint="eastAsia"/>
          <w:b/>
          <w:bCs/>
          <w:sz w:val="28"/>
          <w:szCs w:val="28"/>
        </w:rPr>
        <w:t>胶装</w:t>
      </w:r>
      <w:r>
        <w:rPr>
          <w:rFonts w:hint="eastAsia"/>
          <w:sz w:val="28"/>
          <w:szCs w:val="28"/>
        </w:rPr>
        <w:t>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5.1本工程采用工程量清单综合单价的方式进行报价，报价应为供应商的响应文件中提出的各项支付金额的总和。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w:t>
      </w:r>
      <w:r>
        <w:rPr>
          <w:rFonts w:hint="eastAsia"/>
          <w:sz w:val="28"/>
          <w:szCs w:val="28"/>
          <w:lang w:val="en-US" w:eastAsia="zh-CN"/>
        </w:rPr>
        <w:t>5</w:t>
      </w:r>
      <w:r>
        <w:rPr>
          <w:rFonts w:hint="eastAsia"/>
          <w:sz w:val="28"/>
          <w:szCs w:val="28"/>
        </w:rPr>
        <w:t>不符合竞争性磋商文件中规定的其他实质性要求。</w:t>
      </w:r>
    </w:p>
    <w:p>
      <w:pPr>
        <w:spacing w:line="360" w:lineRule="auto"/>
        <w:ind w:firstLine="560" w:firstLineChars="200"/>
        <w:rPr>
          <w:sz w:val="28"/>
          <w:szCs w:val="28"/>
        </w:rPr>
      </w:pPr>
      <w:r>
        <w:rPr>
          <w:rFonts w:hint="eastAsia"/>
          <w:sz w:val="28"/>
          <w:szCs w:val="28"/>
        </w:rPr>
        <w:t>6.1.</w:t>
      </w:r>
      <w:r>
        <w:rPr>
          <w:rFonts w:hint="eastAsia"/>
          <w:sz w:val="28"/>
          <w:szCs w:val="28"/>
          <w:lang w:val="en-US" w:eastAsia="zh-CN"/>
        </w:rPr>
        <w:t>6</w:t>
      </w:r>
      <w:r>
        <w:rPr>
          <w:rFonts w:hint="eastAsia"/>
          <w:sz w:val="28"/>
          <w:szCs w:val="28"/>
        </w:rPr>
        <w:t>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rPr>
          <w:b/>
          <w:sz w:val="28"/>
          <w:szCs w:val="28"/>
        </w:rPr>
      </w:pPr>
      <w:bookmarkStart w:id="2" w:name="OLE_LINK20"/>
      <w:bookmarkStart w:id="3" w:name="OLE_LINK16"/>
      <w:bookmarkStart w:id="4" w:name="OLE_LINK21"/>
      <w:bookmarkStart w:id="5" w:name="OLE_LINK17"/>
      <w:bookmarkStart w:id="6" w:name="OLE_LINK18"/>
      <w:bookmarkStart w:id="7" w:name="OLE_LINK19"/>
      <w:bookmarkStart w:id="8" w:name="OLE_LINK15"/>
      <w:r>
        <w:rPr>
          <w:rFonts w:hint="eastAsia"/>
          <w:b/>
          <w:sz w:val="28"/>
          <w:szCs w:val="28"/>
        </w:rPr>
        <w:t>一、项目概况</w:t>
      </w:r>
    </w:p>
    <w:p>
      <w:pPr>
        <w:ind w:firstLine="560" w:firstLineChars="200"/>
        <w:rPr>
          <w:rFonts w:hint="eastAsia"/>
          <w:sz w:val="28"/>
          <w:szCs w:val="28"/>
          <w:highlight w:val="none"/>
        </w:rPr>
      </w:pPr>
      <w:r>
        <w:rPr>
          <w:rFonts w:hint="eastAsia"/>
          <w:sz w:val="28"/>
          <w:szCs w:val="28"/>
          <w:highlight w:val="none"/>
        </w:rPr>
        <w:t>1、对人才公寓厨房、卫生间整体改造，包含配套设施拆除更新，室内灯具采购安装，客厅墙体拆除砌筑，小柜类定制安装，主要工作项详见附件工程量清单。</w:t>
      </w:r>
    </w:p>
    <w:p>
      <w:pPr>
        <w:ind w:firstLine="560" w:firstLineChars="200"/>
        <w:rPr>
          <w:rFonts w:hint="default"/>
          <w:sz w:val="28"/>
          <w:szCs w:val="28"/>
          <w:highlight w:val="none"/>
          <w:lang w:val="en-US"/>
        </w:rPr>
      </w:pPr>
      <w:r>
        <w:rPr>
          <w:rFonts w:hint="eastAsia"/>
          <w:sz w:val="28"/>
          <w:szCs w:val="28"/>
          <w:highlight w:val="none"/>
        </w:rPr>
        <w:t>注：不仅含以上工作内容，投标单位勘察现场后结合现场综合考虑。</w:t>
      </w:r>
    </w:p>
    <w:p>
      <w:pPr>
        <w:rPr>
          <w:sz w:val="28"/>
          <w:szCs w:val="28"/>
          <w:highlight w:val="none"/>
        </w:rPr>
      </w:pPr>
      <w:r>
        <w:rPr>
          <w:rFonts w:hint="eastAsia"/>
          <w:sz w:val="28"/>
          <w:szCs w:val="28"/>
        </w:rPr>
        <w:t xml:space="preserve">    2、采购控制价：</w:t>
      </w:r>
      <w:r>
        <w:rPr>
          <w:rFonts w:hint="eastAsia"/>
          <w:sz w:val="28"/>
          <w:szCs w:val="28"/>
          <w:lang w:val="en-US" w:eastAsia="zh-CN"/>
        </w:rPr>
        <w:t>50</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highlight w:val="none"/>
          <w:lang w:val="en-US" w:eastAsia="zh-CN"/>
        </w:rPr>
        <w:t>60天</w:t>
      </w:r>
    </w:p>
    <w:p>
      <w:pPr>
        <w:spacing w:line="360" w:lineRule="auto"/>
        <w:ind w:firstLine="560" w:firstLineChars="200"/>
        <w:rPr>
          <w:sz w:val="28"/>
          <w:szCs w:val="28"/>
        </w:rPr>
      </w:pPr>
      <w:r>
        <w:rPr>
          <w:rFonts w:hint="eastAsia"/>
          <w:sz w:val="28"/>
          <w:szCs w:val="28"/>
        </w:rPr>
        <w:t>4、质保期：整体质保期自竣工验收合格之日起不低于</w:t>
      </w:r>
      <w:r>
        <w:rPr>
          <w:rFonts w:hint="eastAsia"/>
          <w:sz w:val="28"/>
          <w:szCs w:val="28"/>
          <w:lang w:val="en-US" w:eastAsia="zh-CN"/>
        </w:rPr>
        <w:t>2</w:t>
      </w:r>
      <w:r>
        <w:rPr>
          <w:rFonts w:hint="eastAsia"/>
          <w:sz w:val="28"/>
          <w:szCs w:val="28"/>
        </w:rPr>
        <w:t>年。</w:t>
      </w:r>
    </w:p>
    <w:p>
      <w:pPr>
        <w:ind w:firstLine="275" w:firstLineChars="98"/>
        <w:jc w:val="left"/>
        <w:rPr>
          <w:b/>
          <w:sz w:val="28"/>
          <w:szCs w:val="28"/>
        </w:rPr>
      </w:pPr>
      <w:r>
        <w:rPr>
          <w:rFonts w:hint="eastAsia"/>
          <w:b/>
          <w:sz w:val="28"/>
          <w:szCs w:val="28"/>
        </w:rPr>
        <w:t>二、技术要求</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u w:val="none"/>
          <w:lang w:val="en-US" w:eastAsia="zh-CN"/>
        </w:rPr>
      </w:pPr>
      <w:r>
        <w:rPr>
          <w:rFonts w:hint="eastAsia"/>
          <w:sz w:val="28"/>
          <w:szCs w:val="28"/>
          <w:u w:val="none"/>
          <w:lang w:val="en-US" w:eastAsia="zh-CN"/>
        </w:rPr>
        <w:t>1、工程所用材料，必须选用质量达标，对人和环境无毒无害的绿色环保材料。</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u w:val="none"/>
          <w:lang w:val="en-US" w:eastAsia="zh-CN"/>
        </w:rPr>
      </w:pPr>
      <w:r>
        <w:rPr>
          <w:rFonts w:hint="eastAsia"/>
          <w:sz w:val="28"/>
          <w:szCs w:val="28"/>
          <w:u w:val="none"/>
          <w:lang w:val="en-US" w:eastAsia="zh-CN"/>
        </w:rPr>
        <w:t>2、保证安全、文明施工，要求施工场地整洁有序。</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lang w:val="en-US" w:eastAsia="zh-CN"/>
        </w:rPr>
      </w:pPr>
      <w:r>
        <w:rPr>
          <w:rFonts w:hint="eastAsia"/>
          <w:sz w:val="28"/>
          <w:szCs w:val="28"/>
          <w:u w:val="none"/>
          <w:lang w:val="en-US" w:eastAsia="zh-CN"/>
        </w:rPr>
        <w:t>3、必须严格按照国家工程技术规范标准施工，并达到国家工程质量验收规范标准。</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u w:val="none"/>
          <w:lang w:val="en-US" w:eastAsia="zh-CN"/>
        </w:rPr>
      </w:pPr>
      <w:r>
        <w:rPr>
          <w:rFonts w:hint="eastAsia"/>
          <w:sz w:val="28"/>
          <w:szCs w:val="28"/>
          <w:lang w:val="en-US" w:eastAsia="zh-CN"/>
        </w:rPr>
        <w:t>4、装修建材需符合以下要求：石膏板、乳胶漆等需符合环保要求并留存合格证；板材须符合环保E1级标准并留存合格证；各项原材料需确保无假冒伪劣，来源渠道正规可查。</w:t>
      </w:r>
    </w:p>
    <w:p>
      <w:pPr>
        <w:rPr>
          <w:b/>
          <w:sz w:val="30"/>
          <w:szCs w:val="30"/>
        </w:rPr>
      </w:pPr>
      <w:r>
        <w:rPr>
          <w:rFonts w:hint="eastAsia"/>
          <w:b/>
          <w:sz w:val="30"/>
          <w:szCs w:val="30"/>
        </w:rPr>
        <w:t xml:space="preserve">  三、主材要求</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lang w:eastAsia="zh-CN"/>
        </w:rPr>
      </w:pPr>
      <w:r>
        <w:rPr>
          <w:rFonts w:hint="eastAsia"/>
          <w:sz w:val="28"/>
          <w:szCs w:val="28"/>
          <w:lang w:val="en-US" w:eastAsia="zh-CN"/>
        </w:rPr>
        <w:t>1、</w:t>
      </w:r>
      <w:r>
        <w:rPr>
          <w:rFonts w:hint="eastAsia"/>
          <w:sz w:val="28"/>
          <w:szCs w:val="28"/>
          <w:lang w:eastAsia="zh-CN"/>
        </w:rPr>
        <w:t>瓷砖（品牌：箭牌或诺贝尔）</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lang w:eastAsia="zh-CN"/>
        </w:rPr>
      </w:pPr>
      <w:r>
        <w:rPr>
          <w:rFonts w:hint="eastAsia"/>
          <w:sz w:val="28"/>
          <w:szCs w:val="28"/>
          <w:lang w:val="en-US" w:eastAsia="zh-CN"/>
        </w:rPr>
        <w:t>2、</w:t>
      </w:r>
      <w:r>
        <w:rPr>
          <w:rFonts w:hint="eastAsia"/>
          <w:sz w:val="28"/>
          <w:szCs w:val="28"/>
          <w:lang w:eastAsia="zh-CN"/>
        </w:rPr>
        <w:t>卫生间、厨房等配套洁具、设施（品牌：</w:t>
      </w:r>
      <w:r>
        <w:rPr>
          <w:rFonts w:hint="eastAsia"/>
          <w:sz w:val="28"/>
          <w:szCs w:val="28"/>
          <w:lang w:val="en-US" w:eastAsia="zh-CN"/>
        </w:rPr>
        <w:t>TOTO或摩恩</w:t>
      </w:r>
      <w:r>
        <w:rPr>
          <w:rFonts w:hint="eastAsia"/>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lang w:eastAsia="zh-CN"/>
        </w:rPr>
      </w:pPr>
      <w:r>
        <w:rPr>
          <w:rFonts w:hint="eastAsia"/>
          <w:sz w:val="28"/>
          <w:szCs w:val="28"/>
          <w:lang w:val="en-US" w:eastAsia="zh-CN"/>
        </w:rPr>
        <w:t>3、</w:t>
      </w:r>
      <w:r>
        <w:rPr>
          <w:rFonts w:hint="eastAsia"/>
          <w:sz w:val="28"/>
          <w:szCs w:val="28"/>
          <w:lang w:eastAsia="zh-CN"/>
        </w:rPr>
        <w:t>厨房电器（品牌：方太、史密斯或海尔）</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lang w:eastAsia="zh-CN"/>
        </w:rPr>
      </w:pPr>
      <w:r>
        <w:rPr>
          <w:rFonts w:hint="eastAsia"/>
          <w:sz w:val="28"/>
          <w:szCs w:val="28"/>
          <w:lang w:val="en-US" w:eastAsia="zh-CN"/>
        </w:rPr>
        <w:t>4、</w:t>
      </w:r>
      <w:r>
        <w:rPr>
          <w:rFonts w:hint="eastAsia"/>
          <w:sz w:val="28"/>
          <w:szCs w:val="28"/>
          <w:lang w:eastAsia="zh-CN"/>
        </w:rPr>
        <w:t>定制小柜（品牌：丽博或金牌）</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lang w:val="en-US" w:eastAsia="zh-CN"/>
        </w:rPr>
      </w:pPr>
      <w:r>
        <w:rPr>
          <w:rFonts w:hint="eastAsia"/>
          <w:sz w:val="28"/>
          <w:szCs w:val="28"/>
          <w:lang w:val="en-US" w:eastAsia="zh-CN"/>
        </w:rPr>
        <w:t>5、</w:t>
      </w:r>
      <w:r>
        <w:rPr>
          <w:rFonts w:hint="eastAsia"/>
          <w:sz w:val="28"/>
          <w:szCs w:val="28"/>
          <w:lang w:eastAsia="zh-CN"/>
        </w:rPr>
        <w:t>电源插座及信息面板（品牌：松下或鸿雁）</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lang w:val="en-US" w:eastAsia="zh-CN"/>
        </w:rPr>
      </w:pPr>
      <w:r>
        <w:rPr>
          <w:rFonts w:hint="eastAsia"/>
          <w:sz w:val="28"/>
          <w:szCs w:val="28"/>
          <w:lang w:val="en-US" w:eastAsia="zh-CN"/>
        </w:rPr>
        <w:t>6、空气开关 （</w:t>
      </w:r>
      <w:r>
        <w:rPr>
          <w:rFonts w:hint="eastAsia"/>
          <w:sz w:val="28"/>
          <w:szCs w:val="28"/>
          <w:lang w:eastAsia="zh-CN"/>
        </w:rPr>
        <w:t>品牌：</w:t>
      </w:r>
      <w:r>
        <w:rPr>
          <w:rFonts w:hint="eastAsia"/>
          <w:sz w:val="28"/>
          <w:szCs w:val="28"/>
          <w:lang w:val="en-US" w:eastAsia="zh-CN"/>
        </w:rPr>
        <w:t>ABB或施耐德）</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lang w:val="en-US" w:eastAsia="zh-CN"/>
        </w:rPr>
      </w:pPr>
      <w:r>
        <w:rPr>
          <w:rFonts w:hint="eastAsia"/>
          <w:sz w:val="28"/>
          <w:szCs w:val="28"/>
          <w:lang w:val="en-US" w:eastAsia="zh-CN"/>
        </w:rPr>
        <w:t>7、灯具 （</w:t>
      </w:r>
      <w:r>
        <w:rPr>
          <w:rFonts w:hint="eastAsia"/>
          <w:sz w:val="28"/>
          <w:szCs w:val="28"/>
          <w:lang w:eastAsia="zh-CN"/>
        </w:rPr>
        <w:t>品牌：</w:t>
      </w:r>
      <w:r>
        <w:rPr>
          <w:rFonts w:hint="eastAsia"/>
          <w:sz w:val="28"/>
          <w:szCs w:val="28"/>
          <w:lang w:val="en-US" w:eastAsia="zh-CN"/>
        </w:rPr>
        <w:t>松下或雷士）</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u w:val="single"/>
          <w:lang w:val="en-US" w:eastAsia="zh-CN"/>
        </w:rPr>
      </w:pPr>
      <w:r>
        <w:rPr>
          <w:rFonts w:hint="eastAsia"/>
          <w:sz w:val="28"/>
          <w:szCs w:val="28"/>
          <w:lang w:val="en-US" w:eastAsia="zh-CN"/>
        </w:rPr>
        <w:t>8、上下水管 （</w:t>
      </w:r>
      <w:r>
        <w:rPr>
          <w:rFonts w:hint="eastAsia"/>
          <w:sz w:val="28"/>
          <w:szCs w:val="28"/>
          <w:lang w:eastAsia="zh-CN"/>
        </w:rPr>
        <w:t>品牌：</w:t>
      </w:r>
      <w:r>
        <w:rPr>
          <w:rFonts w:hint="eastAsia"/>
          <w:sz w:val="28"/>
          <w:szCs w:val="28"/>
          <w:lang w:val="en-US" w:eastAsia="zh-CN"/>
        </w:rPr>
        <w:t>日丰或联塑）</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lang w:val="en-US" w:eastAsia="zh-CN"/>
        </w:rPr>
      </w:pPr>
      <w:r>
        <w:rPr>
          <w:rFonts w:hint="eastAsia"/>
          <w:sz w:val="28"/>
          <w:szCs w:val="28"/>
          <w:lang w:val="en-US" w:eastAsia="zh-CN"/>
        </w:rPr>
        <w:t>9、电线（</w:t>
      </w:r>
      <w:r>
        <w:rPr>
          <w:rFonts w:hint="eastAsia"/>
          <w:sz w:val="28"/>
          <w:szCs w:val="28"/>
          <w:lang w:eastAsia="zh-CN"/>
        </w:rPr>
        <w:t>品牌：汉河或远东</w:t>
      </w:r>
      <w:r>
        <w:rPr>
          <w:rFonts w:hint="eastAsia"/>
          <w:sz w:val="28"/>
          <w:szCs w:val="28"/>
          <w:lang w:val="en-US" w:eastAsia="zh-CN"/>
        </w:rPr>
        <w:t>）；网线：6类网线（安普或朗讯或相同品牌）</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u w:val="none"/>
          <w:lang w:val="en-US" w:eastAsia="zh-CN"/>
        </w:rPr>
      </w:pPr>
      <w:r>
        <w:rPr>
          <w:rFonts w:hint="eastAsia"/>
          <w:sz w:val="28"/>
          <w:szCs w:val="28"/>
          <w:lang w:val="en-US" w:eastAsia="zh-CN"/>
        </w:rPr>
        <w:t>10、乳胶漆 （</w:t>
      </w:r>
      <w:r>
        <w:rPr>
          <w:rFonts w:hint="eastAsia"/>
          <w:sz w:val="28"/>
          <w:szCs w:val="28"/>
          <w:lang w:eastAsia="zh-CN"/>
        </w:rPr>
        <w:t>品牌：立邦或多乐士环保净味漆</w:t>
      </w:r>
      <w:r>
        <w:rPr>
          <w:rFonts w:hint="eastAsia"/>
          <w:sz w:val="28"/>
          <w:szCs w:val="28"/>
          <w:lang w:val="en-US" w:eastAsia="zh-CN"/>
        </w:rPr>
        <w:t>）、腻子（鸿福居或立邦）</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Chars="0" w:firstLine="560" w:firstLineChars="200"/>
        <w:jc w:val="left"/>
        <w:textAlignment w:val="auto"/>
        <w:rPr>
          <w:rFonts w:hint="eastAsia"/>
          <w:sz w:val="28"/>
          <w:szCs w:val="28"/>
          <w:u w:val="none"/>
          <w:lang w:val="en-US" w:eastAsia="zh-CN"/>
        </w:rPr>
      </w:pPr>
      <w:r>
        <w:rPr>
          <w:rFonts w:hint="eastAsia"/>
          <w:sz w:val="28"/>
          <w:szCs w:val="28"/>
          <w:lang w:val="en-US" w:eastAsia="zh-CN"/>
        </w:rPr>
        <w:t>11、轻钢龙骨（品牌：捷克或龙牌）</w:t>
      </w:r>
    </w:p>
    <w:p>
      <w:pPr>
        <w:rPr>
          <w:rFonts w:hint="eastAsia"/>
          <w:b/>
          <w:sz w:val="30"/>
          <w:szCs w:val="30"/>
        </w:rPr>
      </w:pPr>
      <w:r>
        <w:rPr>
          <w:rFonts w:hint="eastAsia"/>
          <w:b/>
          <w:sz w:val="30"/>
          <w:szCs w:val="30"/>
        </w:rPr>
        <w:t xml:space="preserve"> 四、工程量清单说明及报价说明</w:t>
      </w:r>
    </w:p>
    <w:p>
      <w:pPr>
        <w:ind w:firstLine="280" w:firstLineChars="100"/>
        <w:rPr>
          <w:sz w:val="28"/>
          <w:szCs w:val="28"/>
        </w:rPr>
      </w:pPr>
      <w:r>
        <w:rPr>
          <w:rFonts w:hint="eastAsia"/>
          <w:sz w:val="28"/>
          <w:szCs w:val="28"/>
        </w:rPr>
        <w:t>（一）工程量清单说明</w:t>
      </w:r>
    </w:p>
    <w:p>
      <w:pPr>
        <w:ind w:firstLine="560" w:firstLineChars="200"/>
        <w:rPr>
          <w:sz w:val="28"/>
          <w:szCs w:val="28"/>
        </w:rPr>
      </w:pPr>
      <w:r>
        <w:rPr>
          <w:rFonts w:hint="eastAsia"/>
          <w:sz w:val="28"/>
          <w:szCs w:val="28"/>
        </w:rPr>
        <w:t>1、本工程量清单是根据磋商文件中包括的、有合同约束力的图纸以及有关工程量清单的国家标准、行业标准、合同条款中约定的工程量计算规则编制。</w:t>
      </w:r>
    </w:p>
    <w:p>
      <w:pPr>
        <w:ind w:firstLine="560" w:firstLineChars="200"/>
        <w:rPr>
          <w:sz w:val="28"/>
          <w:szCs w:val="28"/>
        </w:rPr>
      </w:pPr>
      <w:r>
        <w:rPr>
          <w:rFonts w:hint="eastAsia"/>
          <w:sz w:val="28"/>
          <w:szCs w:val="28"/>
        </w:rPr>
        <w:t>2、本工程量清单应与磋商文件中的供应商须知、通用合同条款、专用合同条款、技术标准和要求及图纸等一起阅读和理解。</w:t>
      </w:r>
    </w:p>
    <w:p>
      <w:pPr>
        <w:ind w:firstLine="560" w:firstLineChars="200"/>
        <w:rPr>
          <w:sz w:val="28"/>
          <w:szCs w:val="28"/>
        </w:rPr>
      </w:pPr>
      <w:r>
        <w:rPr>
          <w:rFonts w:hint="eastAsia"/>
          <w:sz w:val="28"/>
          <w:szCs w:val="28"/>
        </w:rPr>
        <w:t>3、本工程量清单仅是报价的共同基础，实际工程计量和工程价款的支付应遵循合同条款的约定和本章有关规定。</w:t>
      </w:r>
    </w:p>
    <w:p>
      <w:pPr>
        <w:spacing w:line="360" w:lineRule="auto"/>
        <w:ind w:firstLine="280" w:firstLineChars="100"/>
        <w:rPr>
          <w:sz w:val="28"/>
          <w:szCs w:val="28"/>
        </w:rPr>
      </w:pPr>
      <w:r>
        <w:rPr>
          <w:rFonts w:hint="eastAsia"/>
          <w:sz w:val="28"/>
          <w:szCs w:val="28"/>
        </w:rPr>
        <w:t>（二）报价说明</w:t>
      </w:r>
    </w:p>
    <w:p>
      <w:pPr>
        <w:spacing w:line="360" w:lineRule="auto"/>
        <w:ind w:firstLine="560" w:firstLineChars="200"/>
        <w:rPr>
          <w:sz w:val="28"/>
          <w:szCs w:val="28"/>
        </w:rPr>
      </w:pPr>
      <w:r>
        <w:rPr>
          <w:rFonts w:hint="eastAsia"/>
          <w:sz w:val="28"/>
          <w:szCs w:val="28"/>
        </w:rPr>
        <w:t>1、工程量清单中的每一子目须填入单价或价格，且只允许有一个报价。</w:t>
      </w:r>
    </w:p>
    <w:p>
      <w:pPr>
        <w:spacing w:line="360" w:lineRule="auto"/>
        <w:ind w:firstLine="560" w:firstLineChars="200"/>
        <w:rPr>
          <w:sz w:val="28"/>
          <w:szCs w:val="28"/>
        </w:rPr>
      </w:pPr>
      <w:r>
        <w:rPr>
          <w:rFonts w:hint="eastAsia"/>
          <w:sz w:val="28"/>
          <w:szCs w:val="28"/>
        </w:rPr>
        <w:t>2、工程量清单成交价的单价或金额，应包括所需的人工费、材料和施工机具使用费和企业管理费、利润以及一定范围内的风险费用等。</w:t>
      </w:r>
    </w:p>
    <w:p>
      <w:pPr>
        <w:spacing w:line="360" w:lineRule="auto"/>
        <w:ind w:firstLine="560" w:firstLineChars="200"/>
        <w:rPr>
          <w:sz w:val="28"/>
          <w:szCs w:val="28"/>
        </w:rPr>
      </w:pPr>
      <w:r>
        <w:rPr>
          <w:rFonts w:hint="eastAsia"/>
          <w:sz w:val="28"/>
          <w:szCs w:val="28"/>
        </w:rPr>
        <w:t>3、工程量清单中供应商没有填入单价或价格的子目，其费用视为已分摊在工程量清单中其他相关子目的单价或价格之中。</w:t>
      </w:r>
    </w:p>
    <w:p>
      <w:pPr>
        <w:ind w:firstLine="413" w:firstLineChars="147"/>
        <w:jc w:val="left"/>
        <w:rPr>
          <w:b/>
          <w:sz w:val="28"/>
          <w:szCs w:val="28"/>
        </w:rPr>
      </w:pPr>
      <w:r>
        <w:rPr>
          <w:rFonts w:hint="eastAsia"/>
          <w:b/>
          <w:sz w:val="28"/>
          <w:szCs w:val="28"/>
        </w:rPr>
        <w:t>五、其他要求</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本</w:t>
      </w:r>
      <w:r>
        <w:rPr>
          <w:rFonts w:hint="eastAsia" w:ascii="宋体" w:hAnsi="宋体" w:cs="宋体"/>
          <w:b w:val="0"/>
          <w:bCs w:val="0"/>
          <w:kern w:val="2"/>
          <w:sz w:val="28"/>
          <w:szCs w:val="28"/>
          <w:lang w:val="en-US" w:eastAsia="zh-CN" w:bidi="ar-SA"/>
        </w:rPr>
        <w:t>项目</w:t>
      </w:r>
      <w:r>
        <w:rPr>
          <w:rFonts w:hint="eastAsia" w:ascii="宋体" w:hAnsi="宋体" w:eastAsia="宋体" w:cs="宋体"/>
          <w:b w:val="0"/>
          <w:bCs w:val="0"/>
          <w:kern w:val="2"/>
          <w:sz w:val="28"/>
          <w:szCs w:val="28"/>
          <w:lang w:val="en-US" w:eastAsia="zh-CN" w:bidi="ar-SA"/>
        </w:rPr>
        <w:t>结束后工程量据实审计，不上机套定额，按照市场价进行审计结算。清单内结算价不超过招标总价</w:t>
      </w:r>
      <w:r>
        <w:rPr>
          <w:rFonts w:hint="eastAsia" w:ascii="宋体" w:hAnsi="宋体"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报价清单外如因甲方变更及追加按签证单或</w:t>
      </w:r>
      <w:r>
        <w:rPr>
          <w:rFonts w:hint="eastAsia" w:ascii="宋体" w:hAnsi="宋体" w:cs="宋体"/>
          <w:b w:val="0"/>
          <w:bCs w:val="0"/>
          <w:kern w:val="2"/>
          <w:sz w:val="28"/>
          <w:szCs w:val="28"/>
          <w:lang w:val="en-US" w:eastAsia="zh-CN" w:bidi="ar-SA"/>
        </w:rPr>
        <w:t>图纸</w:t>
      </w:r>
      <w:r>
        <w:rPr>
          <w:rFonts w:hint="eastAsia" w:ascii="宋体" w:hAnsi="宋体" w:eastAsia="宋体" w:cs="宋体"/>
          <w:b w:val="0"/>
          <w:bCs w:val="0"/>
          <w:kern w:val="2"/>
          <w:sz w:val="28"/>
          <w:szCs w:val="28"/>
          <w:lang w:val="en-US" w:eastAsia="zh-CN" w:bidi="ar-SA"/>
        </w:rPr>
        <w:t>结算 。</w:t>
      </w:r>
    </w:p>
    <w:p>
      <w:pPr>
        <w:ind w:firstLine="560" w:firstLineChars="200"/>
        <w:jc w:val="left"/>
        <w:rPr>
          <w:rFonts w:hint="eastAsia" w:ascii="宋体" w:hAnsi="宋体" w:eastAsia="宋体" w:cs="宋体"/>
          <w:b w:val="0"/>
          <w:bCs w:val="0"/>
          <w:kern w:val="2"/>
          <w:sz w:val="28"/>
          <w:szCs w:val="28"/>
          <w:lang w:val="en-US" w:eastAsia="zh-CN" w:bidi="ar-SA"/>
        </w:rPr>
      </w:pPr>
    </w:p>
    <w:p>
      <w:pPr>
        <w:ind w:firstLine="560" w:firstLineChars="200"/>
        <w:jc w:val="left"/>
        <w:rPr>
          <w:rFonts w:hint="eastAsia" w:ascii="宋体" w:hAnsi="宋体" w:eastAsia="宋体" w:cs="宋体"/>
          <w:b w:val="0"/>
          <w:bCs w:val="0"/>
          <w:kern w:val="2"/>
          <w:sz w:val="28"/>
          <w:szCs w:val="28"/>
          <w:lang w:val="en-US" w:eastAsia="zh-CN" w:bidi="ar-SA"/>
        </w:rPr>
      </w:pPr>
    </w:p>
    <w:p>
      <w:pPr>
        <w:ind w:firstLine="560" w:firstLineChars="200"/>
        <w:jc w:val="left"/>
        <w:rPr>
          <w:rFonts w:hint="eastAsia" w:ascii="宋体" w:hAnsi="宋体" w:eastAsia="宋体" w:cs="宋体"/>
          <w:b w:val="0"/>
          <w:bCs w:val="0"/>
          <w:kern w:val="2"/>
          <w:sz w:val="28"/>
          <w:szCs w:val="28"/>
          <w:lang w:val="en-US" w:eastAsia="zh-CN" w:bidi="ar-SA"/>
        </w:rPr>
      </w:pPr>
    </w:p>
    <w:p>
      <w:pPr>
        <w:ind w:firstLine="560" w:firstLineChars="200"/>
        <w:jc w:val="left"/>
        <w:rPr>
          <w:rFonts w:hint="eastAsia" w:ascii="宋体" w:hAnsi="宋体" w:eastAsia="宋体" w:cs="宋体"/>
          <w:b w:val="0"/>
          <w:bCs w:val="0"/>
          <w:kern w:val="2"/>
          <w:sz w:val="28"/>
          <w:szCs w:val="28"/>
          <w:lang w:val="en-US" w:eastAsia="zh-CN" w:bidi="ar-SA"/>
        </w:rPr>
      </w:pPr>
    </w:p>
    <w:p>
      <w:pPr>
        <w:widowControl/>
        <w:jc w:val="center"/>
        <w:rPr>
          <w:rFonts w:hint="eastAsia" w:cs="Helvetica" w:asciiTheme="minorEastAsia" w:hAnsiTheme="minorEastAsia"/>
          <w:b/>
          <w:color w:val="333333"/>
          <w:sz w:val="28"/>
          <w:szCs w:val="28"/>
        </w:rPr>
      </w:pPr>
    </w:p>
    <w:p>
      <w:pPr>
        <w:widowControl/>
        <w:jc w:val="center"/>
        <w:rPr>
          <w:rFonts w:hint="eastAsia" w:cs="Helvetica" w:asciiTheme="minorEastAsia" w:hAnsiTheme="minorEastAsia"/>
          <w:b/>
          <w:color w:val="333333"/>
          <w:sz w:val="28"/>
          <w:szCs w:val="28"/>
        </w:rPr>
      </w:pPr>
    </w:p>
    <w:p>
      <w:pPr>
        <w:widowControl/>
        <w:jc w:val="center"/>
        <w:rPr>
          <w:rFonts w:hint="eastAsia" w:cs="Helvetica" w:asciiTheme="minorEastAsia" w:hAnsiTheme="minorEastAsia"/>
          <w:b/>
          <w:color w:val="333333"/>
          <w:sz w:val="28"/>
          <w:szCs w:val="28"/>
        </w:rPr>
      </w:pPr>
    </w:p>
    <w:p>
      <w:pPr>
        <w:widowControl/>
        <w:jc w:val="center"/>
        <w:rPr>
          <w:rFonts w:hint="eastAsia" w:cs="Helvetica" w:asciiTheme="minorEastAsia" w:hAnsiTheme="minorEastAsia"/>
          <w:b/>
          <w:color w:val="333333"/>
          <w:sz w:val="28"/>
          <w:szCs w:val="28"/>
        </w:rPr>
      </w:pPr>
    </w:p>
    <w:p>
      <w:pPr>
        <w:widowControl/>
        <w:jc w:val="center"/>
        <w:rPr>
          <w:rFonts w:hint="eastAsia" w:cs="Helvetica" w:asciiTheme="minorEastAsia" w:hAnsiTheme="minorEastAsia"/>
          <w:b/>
          <w:color w:val="333333"/>
          <w:sz w:val="28"/>
          <w:szCs w:val="28"/>
        </w:rPr>
      </w:pPr>
    </w:p>
    <w:p>
      <w:pPr>
        <w:widowControl/>
        <w:jc w:val="center"/>
        <w:rPr>
          <w:rFonts w:hint="eastAsia" w:cs="Helvetica" w:asciiTheme="minorEastAsia" w:hAnsiTheme="minorEastAsia"/>
          <w:b/>
          <w:color w:val="333333"/>
          <w:sz w:val="28"/>
          <w:szCs w:val="28"/>
        </w:rPr>
      </w:pPr>
      <w:bookmarkStart w:id="11" w:name="_GoBack"/>
      <w:bookmarkEnd w:id="11"/>
    </w:p>
    <w:p>
      <w:pPr>
        <w:widowControl/>
        <w:jc w:val="center"/>
        <w:rPr>
          <w:rFonts w:cs="Helvetica" w:asciiTheme="minorEastAsia" w:hAnsiTheme="minorEastAsia"/>
          <w:b/>
          <w:color w:val="auto"/>
          <w:sz w:val="28"/>
          <w:szCs w:val="28"/>
        </w:rPr>
      </w:pPr>
      <w:r>
        <w:rPr>
          <w:rFonts w:hint="eastAsia" w:cs="Helvetica" w:asciiTheme="minorEastAsia" w:hAnsiTheme="minorEastAsia"/>
          <w:b/>
          <w:color w:val="auto"/>
          <w:sz w:val="28"/>
          <w:szCs w:val="28"/>
        </w:rPr>
        <w:t>第三章  评分标准</w:t>
      </w:r>
    </w:p>
    <w:bookmarkEnd w:id="2"/>
    <w:bookmarkEnd w:id="3"/>
    <w:bookmarkEnd w:id="4"/>
    <w:bookmarkEnd w:id="5"/>
    <w:bookmarkEnd w:id="6"/>
    <w:bookmarkEnd w:id="7"/>
    <w:bookmarkEnd w:id="8"/>
    <w:tbl>
      <w:tblPr>
        <w:tblStyle w:val="8"/>
        <w:tblW w:w="994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96"/>
        <w:gridCol w:w="7047"/>
        <w:gridCol w:w="8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2096"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内  容</w:t>
            </w:r>
          </w:p>
        </w:tc>
        <w:tc>
          <w:tcPr>
            <w:tcW w:w="7047"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评分原则</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满分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02" w:hRule="atLeast"/>
          <w:jc w:val="center"/>
        </w:trPr>
        <w:tc>
          <w:tcPr>
            <w:tcW w:w="2096" w:type="dxa"/>
            <w:vAlign w:val="center"/>
          </w:tcPr>
          <w:p>
            <w:pPr>
              <w:widowControl/>
              <w:adjustRightInd w:val="0"/>
              <w:snapToGrid w:val="0"/>
              <w:spacing w:line="400" w:lineRule="exact"/>
              <w:ind w:right="-50" w:rightChars="-24" w:firstLine="480"/>
              <w:rPr>
                <w:rFonts w:hint="eastAsia" w:ascii="仿宋_GB2312" w:hAnsi="宋体" w:eastAsia="仿宋_GB2312"/>
                <w:bCs/>
                <w:sz w:val="24"/>
                <w:szCs w:val="24"/>
              </w:rPr>
            </w:pPr>
            <w:r>
              <w:rPr>
                <w:rFonts w:hint="eastAsia" w:ascii="仿宋_GB2312" w:hAnsi="宋体" w:eastAsia="仿宋_GB2312"/>
                <w:bCs/>
                <w:sz w:val="24"/>
                <w:szCs w:val="24"/>
              </w:rPr>
              <w:t>报  价</w:t>
            </w:r>
          </w:p>
          <w:p>
            <w:pPr>
              <w:widowControl/>
              <w:adjustRightInd w:val="0"/>
              <w:snapToGrid w:val="0"/>
              <w:spacing w:line="400" w:lineRule="exact"/>
              <w:ind w:right="-50" w:rightChars="-24" w:firstLine="290" w:firstLineChars="121"/>
              <w:rPr>
                <w:rFonts w:hint="eastAsia" w:ascii="仿宋_GB2312" w:hAnsi="宋体" w:eastAsia="仿宋_GB2312"/>
                <w:bCs/>
                <w:sz w:val="24"/>
                <w:szCs w:val="24"/>
              </w:rPr>
            </w:pPr>
            <w:r>
              <w:rPr>
                <w:rFonts w:hint="eastAsia" w:ascii="仿宋_GB2312" w:hAnsi="宋体" w:eastAsia="仿宋_GB2312"/>
                <w:bCs/>
                <w:sz w:val="24"/>
                <w:szCs w:val="24"/>
              </w:rPr>
              <w:t>（30分）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eastAsia="仿宋_GB2312"/>
                <w:sz w:val="24"/>
              </w:rPr>
              <w:t>满足磋商文件要求且投标价格最低的最终报价为评标基准价，其 价格分为满分（30 分）。其他投标人的价格分统一按照下列公式 计算：投标报价得分＝（评标基准价／投标报价)×30×100%。</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500" w:hRule="atLeast"/>
          <w:jc w:val="center"/>
        </w:trPr>
        <w:tc>
          <w:tcPr>
            <w:tcW w:w="2096" w:type="dxa"/>
            <w:vAlign w:val="center"/>
          </w:tcPr>
          <w:p>
            <w:pPr>
              <w:spacing w:line="360" w:lineRule="exact"/>
              <w:jc w:val="center"/>
              <w:rPr>
                <w:rFonts w:hint="eastAsia" w:ascii="仿宋_GB2312" w:hAnsi="宋体" w:eastAsia="仿宋_GB2312"/>
                <w:bCs/>
                <w:sz w:val="24"/>
                <w:szCs w:val="24"/>
              </w:rPr>
            </w:pPr>
            <w:r>
              <w:rPr>
                <w:rFonts w:hint="eastAsia" w:ascii="仿宋_GB2312" w:hAnsi="宋体" w:eastAsia="仿宋_GB2312"/>
                <w:bCs/>
                <w:sz w:val="24"/>
                <w:szCs w:val="24"/>
              </w:rPr>
              <w:t>企业业绩</w:t>
            </w:r>
          </w:p>
          <w:p>
            <w:pPr>
              <w:spacing w:line="360" w:lineRule="exact"/>
              <w:jc w:val="center"/>
              <w:rPr>
                <w:rFonts w:hint="eastAsia" w:ascii="仿宋_GB2312" w:hAnsi="宋体" w:eastAsia="仿宋_GB2312"/>
                <w:bCs/>
                <w:sz w:val="24"/>
                <w:szCs w:val="24"/>
              </w:rPr>
            </w:pPr>
            <w:r>
              <w:rPr>
                <w:rFonts w:hint="eastAsia" w:ascii="仿宋_GB2312" w:hAnsi="宋体" w:eastAsia="仿宋_GB2312"/>
                <w:bCs/>
                <w:sz w:val="24"/>
                <w:szCs w:val="24"/>
              </w:rPr>
              <w:t>（6分）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投标人 201</w:t>
            </w:r>
            <w:r>
              <w:rPr>
                <w:rFonts w:hint="eastAsia" w:ascii="仿宋_GB2312" w:hAnsi="宋体" w:eastAsia="仿宋_GB2312"/>
                <w:bCs/>
                <w:sz w:val="24"/>
                <w:szCs w:val="24"/>
                <w:lang w:val="en-US" w:eastAsia="zh-CN"/>
              </w:rPr>
              <w:t>8</w:t>
            </w:r>
            <w:r>
              <w:rPr>
                <w:rFonts w:hint="eastAsia" w:ascii="仿宋_GB2312" w:hAnsi="宋体" w:eastAsia="仿宋_GB2312"/>
                <w:bCs/>
                <w:sz w:val="24"/>
                <w:szCs w:val="24"/>
              </w:rPr>
              <w:t xml:space="preserve"> 年 1 月 1 日后签订的同类项目业绩，合同金额100 万元及以上，每提供一份得2分，最高得6分（业绩证明需提供合同及竣工验收证明原件，二者缺一不可，否则不得分）。 </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2096" w:type="dxa"/>
            <w:tcBorders>
              <w:bottom w:val="single" w:color="auto" w:sz="4" w:space="0"/>
            </w:tcBorders>
            <w:vAlign w:val="center"/>
          </w:tcPr>
          <w:p>
            <w:pPr>
              <w:widowControl/>
              <w:adjustRightInd w:val="0"/>
              <w:snapToGrid w:val="0"/>
              <w:spacing w:line="400" w:lineRule="exact"/>
              <w:ind w:right="-50" w:rightChars="-24" w:firstLine="290" w:firstLineChars="121"/>
              <w:jc w:val="center"/>
              <w:rPr>
                <w:rFonts w:hint="eastAsia" w:ascii="仿宋_GB2312" w:hAnsi="宋体" w:eastAsia="仿宋_GB2312"/>
                <w:bCs/>
                <w:sz w:val="24"/>
                <w:szCs w:val="24"/>
              </w:rPr>
            </w:pPr>
            <w:r>
              <w:rPr>
                <w:rFonts w:hint="eastAsia" w:ascii="仿宋_GB2312" w:hAnsi="宋体" w:eastAsia="仿宋_GB2312"/>
                <w:bCs/>
                <w:sz w:val="24"/>
                <w:szCs w:val="24"/>
              </w:rPr>
              <w:t>质保期</w:t>
            </w:r>
          </w:p>
          <w:p>
            <w:pPr>
              <w:widowControl/>
              <w:adjustRightInd w:val="0"/>
              <w:snapToGrid w:val="0"/>
              <w:spacing w:line="400" w:lineRule="exact"/>
              <w:ind w:right="-50" w:rightChars="-24" w:firstLine="290" w:firstLineChars="121"/>
              <w:jc w:val="center"/>
              <w:rPr>
                <w:rFonts w:hint="eastAsia" w:ascii="仿宋_GB2312" w:hAnsi="宋体" w:eastAsia="仿宋_GB2312"/>
                <w:bCs/>
                <w:sz w:val="24"/>
                <w:szCs w:val="24"/>
              </w:rPr>
            </w:pPr>
            <w:r>
              <w:rPr>
                <w:rFonts w:hint="eastAsia" w:ascii="仿宋_GB2312" w:hAnsi="宋体" w:eastAsia="仿宋_GB2312"/>
                <w:bCs/>
                <w:sz w:val="24"/>
                <w:szCs w:val="24"/>
              </w:rPr>
              <w:t>（2分）</w:t>
            </w:r>
          </w:p>
        </w:tc>
        <w:tc>
          <w:tcPr>
            <w:tcW w:w="7047" w:type="dxa"/>
            <w:tcBorders>
              <w:bottom w:val="single" w:color="auto" w:sz="4" w:space="0"/>
            </w:tcBorders>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在满足磋商文件的基础上质保期每延长1年加1分，最高得2分。</w:t>
            </w:r>
          </w:p>
        </w:tc>
        <w:tc>
          <w:tcPr>
            <w:tcW w:w="802" w:type="dxa"/>
            <w:tcBorders>
              <w:bottom w:val="single" w:color="auto" w:sz="4" w:space="0"/>
            </w:tcBorders>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资信及履约能力</w:t>
            </w:r>
          </w:p>
          <w:p>
            <w:pPr>
              <w:widowControl/>
              <w:adjustRightInd w:val="0"/>
              <w:snapToGrid w:val="0"/>
              <w:spacing w:line="400" w:lineRule="exact"/>
              <w:ind w:left="480" w:right="-50" w:rightChars="-24" w:hanging="480" w:hangingChars="200"/>
              <w:jc w:val="center"/>
              <w:rPr>
                <w:rFonts w:ascii="仿宋_GB2312" w:hAnsi="宋体" w:eastAsia="仿宋_GB2312"/>
                <w:sz w:val="24"/>
                <w:szCs w:val="24"/>
              </w:rPr>
            </w:pPr>
            <w:r>
              <w:rPr>
                <w:rFonts w:hint="eastAsia" w:ascii="仿宋_GB2312" w:hAnsi="宋体" w:eastAsia="仿宋_GB2312"/>
                <w:sz w:val="24"/>
                <w:szCs w:val="24"/>
              </w:rPr>
              <w:t>（5分）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left="480" w:right="-50" w:rightChars="-24" w:hanging="480" w:hangingChars="200"/>
              <w:jc w:val="left"/>
              <w:rPr>
                <w:rFonts w:hint="eastAsia" w:ascii="仿宋_GB2312" w:hAnsi="宋体" w:eastAsia="仿宋_GB2312"/>
                <w:sz w:val="24"/>
                <w:szCs w:val="24"/>
              </w:rPr>
            </w:pPr>
            <w:r>
              <w:rPr>
                <w:rFonts w:hint="eastAsia" w:ascii="仿宋_GB2312" w:hAnsi="宋体" w:eastAsia="仿宋_GB2312"/>
                <w:sz w:val="24"/>
                <w:szCs w:val="24"/>
              </w:rPr>
              <w:t>综合考虑投标人财务状况、资信情况、同类工程质量</w:t>
            </w:r>
            <w:r>
              <w:rPr>
                <w:rFonts w:ascii="仿宋_GB2312" w:hAnsi="宋体" w:eastAsia="仿宋_GB2312"/>
                <w:sz w:val="24"/>
                <w:szCs w:val="24"/>
              </w:rPr>
              <w:t>/</w:t>
            </w:r>
            <w:r>
              <w:rPr>
                <w:rFonts w:hint="eastAsia" w:ascii="仿宋_GB2312" w:hAnsi="宋体" w:eastAsia="仿宋_GB2312"/>
                <w:sz w:val="24"/>
                <w:szCs w:val="24"/>
              </w:rPr>
              <w:t>产品供货履</w:t>
            </w:r>
          </w:p>
          <w:p>
            <w:pPr>
              <w:widowControl/>
              <w:autoSpaceDE w:val="0"/>
              <w:autoSpaceDN w:val="0"/>
              <w:adjustRightInd w:val="0"/>
              <w:snapToGrid w:val="0"/>
              <w:spacing w:line="400" w:lineRule="exact"/>
              <w:ind w:left="480" w:right="-50" w:rightChars="-24" w:hanging="480" w:hangingChars="200"/>
              <w:jc w:val="left"/>
              <w:rPr>
                <w:rFonts w:ascii="仿宋_GB2312" w:hAnsi="宋体" w:eastAsia="仿宋_GB2312"/>
                <w:sz w:val="24"/>
                <w:szCs w:val="24"/>
              </w:rPr>
            </w:pPr>
            <w:r>
              <w:rPr>
                <w:rFonts w:hint="eastAsia" w:ascii="仿宋_GB2312" w:hAnsi="宋体" w:eastAsia="仿宋_GB2312"/>
                <w:sz w:val="24"/>
                <w:szCs w:val="24"/>
              </w:rPr>
              <w:t>约能力等方面的情况，得1-5分。</w:t>
            </w:r>
          </w:p>
        </w:tc>
        <w:tc>
          <w:tcPr>
            <w:tcW w:w="802" w:type="dxa"/>
            <w:tcBorders>
              <w:top w:val="single" w:color="auto" w:sz="4" w:space="0"/>
              <w:left w:val="single" w:color="auto" w:sz="4" w:space="0"/>
              <w:bottom w:val="single" w:color="auto" w:sz="4" w:space="0"/>
            </w:tcBorders>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b/>
                <w:sz w:val="24"/>
                <w:szCs w:val="24"/>
              </w:rPr>
              <w:t>5分</w:t>
            </w:r>
          </w:p>
          <w:p>
            <w:pPr>
              <w:adjustRightInd w:val="0"/>
              <w:snapToGrid w:val="0"/>
              <w:spacing w:line="400" w:lineRule="exact"/>
              <w:ind w:right="-50" w:rightChars="-24"/>
              <w:jc w:val="center"/>
              <w:rPr>
                <w:rFonts w:hint="eastAsia" w:ascii="仿宋_GB2312" w:hAnsi="仿宋"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0" w:right="-50" w:rightChars="-24" w:hanging="480" w:hangingChars="200"/>
              <w:jc w:val="left"/>
              <w:rPr>
                <w:rFonts w:hint="eastAsia" w:ascii="仿宋_GB2312" w:hAnsi="宋体" w:eastAsia="仿宋_GB2312"/>
                <w:sz w:val="24"/>
                <w:szCs w:val="24"/>
              </w:rPr>
            </w:pPr>
            <w:r>
              <w:rPr>
                <w:rFonts w:hint="eastAsia" w:ascii="仿宋_GB2312" w:hAnsi="宋体" w:eastAsia="仿宋_GB2312"/>
                <w:sz w:val="24"/>
                <w:szCs w:val="24"/>
              </w:rPr>
              <w:t>主材质量、品牌</w:t>
            </w:r>
          </w:p>
          <w:p>
            <w:pPr>
              <w:widowControl/>
              <w:adjustRightInd w:val="0"/>
              <w:snapToGrid w:val="0"/>
              <w:spacing w:line="400" w:lineRule="exact"/>
              <w:ind w:left="480" w:right="-50" w:rightChars="-24" w:hanging="480" w:hangingChars="200"/>
              <w:jc w:val="center"/>
              <w:rPr>
                <w:rFonts w:ascii="仿宋_GB2312" w:hAnsi="宋体" w:eastAsia="仿宋_GB2312"/>
                <w:sz w:val="24"/>
                <w:szCs w:val="24"/>
              </w:rPr>
            </w:pPr>
            <w:r>
              <w:rPr>
                <w:rFonts w:hint="eastAsia" w:ascii="仿宋_GB2312" w:hAnsi="宋体" w:eastAsia="仿宋_GB2312"/>
                <w:sz w:val="24"/>
                <w:szCs w:val="24"/>
              </w:rPr>
              <w:t>（8分）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80" w:right="-50" w:rightChars="-24" w:hanging="480" w:hangingChars="200"/>
              <w:rPr>
                <w:rFonts w:ascii="仿宋_GB2312" w:hAnsi="宋体" w:eastAsia="仿宋_GB2312"/>
                <w:sz w:val="24"/>
                <w:szCs w:val="24"/>
              </w:rPr>
            </w:pPr>
            <w:r>
              <w:rPr>
                <w:rFonts w:hint="eastAsia" w:ascii="仿宋_GB2312" w:hAnsi="宋体" w:eastAsia="仿宋_GB2312"/>
                <w:sz w:val="24"/>
                <w:szCs w:val="24"/>
              </w:rPr>
              <w:t>依据所投主材料质量、品牌、环保性能等，得1-8分。</w:t>
            </w:r>
          </w:p>
        </w:tc>
        <w:tc>
          <w:tcPr>
            <w:tcW w:w="802" w:type="dxa"/>
            <w:tcBorders>
              <w:top w:val="single" w:color="auto" w:sz="4" w:space="0"/>
              <w:left w:val="single" w:color="auto" w:sz="4" w:space="0"/>
              <w:bottom w:val="single" w:color="auto" w:sz="4" w:space="0"/>
            </w:tcBorders>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8分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 w:hRule="atLeast"/>
          <w:jc w:val="center"/>
        </w:trPr>
        <w:tc>
          <w:tcPr>
            <w:tcW w:w="2096" w:type="dxa"/>
            <w:tcBorders>
              <w:top w:val="single" w:color="auto" w:sz="4" w:space="0"/>
            </w:tcBorders>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施工方案</w:t>
            </w:r>
          </w:p>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（26分）</w:t>
            </w:r>
          </w:p>
        </w:tc>
        <w:tc>
          <w:tcPr>
            <w:tcW w:w="7047" w:type="dxa"/>
            <w:tcBorders>
              <w:top w:val="single" w:color="auto" w:sz="4" w:space="0"/>
            </w:tcBorders>
            <w:vAlign w:val="center"/>
          </w:tcPr>
          <w:p>
            <w:pPr>
              <w:ind w:left="480" w:hanging="480" w:hangingChars="200"/>
              <w:rPr>
                <w:rFonts w:hint="eastAsia" w:ascii="仿宋_GB2312" w:hAnsi="宋体" w:eastAsia="仿宋_GB2312"/>
                <w:sz w:val="24"/>
                <w:szCs w:val="24"/>
              </w:rPr>
            </w:pPr>
            <w:r>
              <w:rPr>
                <w:rFonts w:hint="eastAsia" w:ascii="仿宋_GB2312" w:hAnsi="宋体" w:eastAsia="仿宋_GB2312"/>
                <w:sz w:val="24"/>
                <w:szCs w:val="24"/>
              </w:rPr>
              <w:t>依据投标人施工组织设计及技术措施的完整性、合理性、先进性</w:t>
            </w:r>
          </w:p>
          <w:p>
            <w:pPr>
              <w:ind w:left="480" w:hanging="480" w:hangingChars="200"/>
              <w:rPr>
                <w:rFonts w:hint="eastAsia" w:ascii="仿宋_GB2312" w:hAnsi="宋体" w:eastAsia="仿宋_GB2312"/>
                <w:sz w:val="24"/>
                <w:szCs w:val="24"/>
              </w:rPr>
            </w:pPr>
            <w:r>
              <w:rPr>
                <w:rFonts w:hint="eastAsia" w:ascii="仿宋_GB2312" w:hAnsi="宋体" w:eastAsia="仿宋_GB2312"/>
                <w:sz w:val="24"/>
                <w:szCs w:val="24"/>
              </w:rPr>
              <w:t>及对本工程的针对性的强弱程度和技术措施的得力情况，酌情打</w:t>
            </w:r>
          </w:p>
          <w:p>
            <w:pPr>
              <w:ind w:left="480" w:hanging="480" w:hangingChars="200"/>
              <w:rPr>
                <w:rFonts w:ascii="仿宋_GB2312" w:hAnsi="宋体" w:eastAsia="仿宋_GB2312"/>
                <w:sz w:val="24"/>
                <w:szCs w:val="24"/>
              </w:rPr>
            </w:pPr>
            <w:r>
              <w:rPr>
                <w:rFonts w:hint="eastAsia" w:ascii="仿宋_GB2312" w:hAnsi="宋体" w:eastAsia="仿宋_GB2312"/>
                <w:sz w:val="24"/>
                <w:szCs w:val="24"/>
              </w:rPr>
              <w:t>分。优：20-26分、良11-20分、一般3-10分。</w:t>
            </w:r>
          </w:p>
        </w:tc>
        <w:tc>
          <w:tcPr>
            <w:tcW w:w="802" w:type="dxa"/>
            <w:tcBorders>
              <w:top w:val="single" w:color="auto" w:sz="4" w:space="0"/>
            </w:tcBorders>
            <w:vAlign w:val="center"/>
          </w:tcPr>
          <w:p>
            <w:pPr>
              <w:widowControl/>
              <w:adjustRightInd w:val="0"/>
              <w:snapToGrid w:val="0"/>
              <w:spacing w:line="400" w:lineRule="exact"/>
              <w:ind w:right="-50" w:rightChars="-24"/>
              <w:jc w:val="center"/>
              <w:rPr>
                <w:rFonts w:hint="eastAsia" w:ascii="仿宋_GB2312" w:hAnsi="仿宋" w:eastAsia="仿宋_GB2312"/>
                <w:b/>
                <w:sz w:val="24"/>
                <w:szCs w:val="24"/>
              </w:rPr>
            </w:pPr>
            <w:r>
              <w:rPr>
                <w:rFonts w:hint="eastAsia" w:ascii="仿宋_GB2312" w:hAnsi="仿宋" w:eastAsia="仿宋_GB2312"/>
                <w:b/>
                <w:sz w:val="24"/>
                <w:szCs w:val="24"/>
              </w:rPr>
              <w:t>26分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bCs/>
                <w:sz w:val="24"/>
                <w:szCs w:val="24"/>
              </w:rPr>
            </w:pPr>
            <w:r>
              <w:rPr>
                <w:rFonts w:hint="eastAsia" w:ascii="仿宋_GB2312" w:hAnsi="宋体" w:eastAsia="仿宋_GB2312"/>
                <w:sz w:val="24"/>
                <w:szCs w:val="24"/>
              </w:rPr>
              <w:t>工程质量保证措施</w:t>
            </w:r>
            <w:r>
              <w:rPr>
                <w:rFonts w:hint="eastAsia" w:ascii="仿宋_GB2312" w:hAnsi="宋体" w:eastAsia="仿宋_GB2312"/>
                <w:bCs/>
                <w:sz w:val="24"/>
                <w:szCs w:val="24"/>
              </w:rPr>
              <w:t>（5分）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依据投标人为确保工程质量目标，所采取的质量管理措施的科学性、可靠性、完备性、针对性和可实施性，酌情打分。优：4-5分、良2-3分，一般1-2分。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工程进度保证措施</w:t>
            </w:r>
          </w:p>
          <w:p>
            <w:pPr>
              <w:widowControl/>
              <w:adjustRightInd w:val="0"/>
              <w:snapToGrid w:val="0"/>
              <w:spacing w:line="400" w:lineRule="exact"/>
              <w:ind w:left="420" w:leftChars="200" w:right="-50" w:rightChars="-24" w:firstLine="120" w:firstLineChars="50"/>
              <w:jc w:val="center"/>
              <w:rPr>
                <w:rFonts w:hint="eastAsia" w:ascii="仿宋_GB2312" w:hAnsi="宋体" w:eastAsia="仿宋_GB2312"/>
                <w:sz w:val="24"/>
                <w:szCs w:val="24"/>
              </w:rPr>
            </w:pPr>
            <w:r>
              <w:rPr>
                <w:rFonts w:hint="eastAsia" w:ascii="仿宋_GB2312" w:hAnsi="宋体" w:eastAsia="仿宋_GB2312"/>
                <w:sz w:val="24"/>
                <w:szCs w:val="24"/>
              </w:rPr>
              <w:t>（5分）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依据投标人为确保本工程按时竣工，所采取的工程组织管理措施的科学性、可靠性、完备性、针对性和可实施性，酌情打分。优：4-5分、良2-3分，一般1-2分。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bCs/>
                <w:sz w:val="24"/>
                <w:szCs w:val="24"/>
              </w:rPr>
              <w:t>安全文明施工措施（5分）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根据投标人为确保本工程安全施工和文明施工，不影响正常医疗秩序，所采取的管理措施的科学性、可靠性、完备性、针对性和可实施性，酌情打分。优： 4-5 分，良:2-3 分，一般: 1-2 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bookmarkStart w:id="9" w:name="OLE_LINK30"/>
            <w:bookmarkStart w:id="10" w:name="OLE_LINK31"/>
            <w:r>
              <w:rPr>
                <w:rFonts w:hint="eastAsia" w:ascii="仿宋_GB2312" w:hAnsi="宋体" w:eastAsia="仿宋_GB2312"/>
                <w:sz w:val="24"/>
                <w:szCs w:val="24"/>
              </w:rPr>
              <w:t>优惠条件合理化建议（2分）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投标人对承建本工程的有利条件说明及有关优惠条件（0-1 分）、合理化建议（0-1 分）（价格因素除外）酌情打分。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2分</w:t>
            </w:r>
          </w:p>
        </w:tc>
      </w:tr>
      <w:bookmarkEnd w:id="9"/>
      <w:bookmarkEnd w:id="10"/>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售后服务（3分）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依据投标人为确保本工程售后服务的可靠性、完备性、针对性和可实施性，得0-3分。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其他（3分）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根据以下内容进行比较评价：标书制作规范，内容完整，文字清晰，标书中对技术部分的描述准确，询标答疑过程对评委提出需澄清确认的问题答复完整、准确得 1-3 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合计</w:t>
            </w:r>
          </w:p>
        </w:tc>
        <w:tc>
          <w:tcPr>
            <w:tcW w:w="7047" w:type="dxa"/>
            <w:vAlign w:val="center"/>
          </w:tcPr>
          <w:p>
            <w:pPr>
              <w:spacing w:line="360" w:lineRule="exact"/>
              <w:rPr>
                <w:rFonts w:hint="eastAsia" w:ascii="仿宋_GB2312" w:hAnsi="宋体" w:eastAsia="仿宋_GB2312"/>
                <w:bCs/>
                <w:sz w:val="24"/>
                <w:szCs w:val="24"/>
              </w:rPr>
            </w:pP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100分</w:t>
            </w:r>
          </w:p>
        </w:tc>
      </w:tr>
    </w:tbl>
    <w:p>
      <w:pPr>
        <w:jc w:val="both"/>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spacing w:line="360" w:lineRule="auto"/>
        <w:ind w:left="720" w:firstLine="560"/>
        <w:rPr>
          <w:rFonts w:hint="eastAsia"/>
          <w:sz w:val="28"/>
          <w:szCs w:val="28"/>
        </w:rPr>
      </w:pPr>
    </w:p>
    <w:p>
      <w:pPr>
        <w:pStyle w:val="13"/>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b/>
          <w:sz w:val="28"/>
          <w:szCs w:val="28"/>
        </w:rPr>
      </w:pPr>
      <w:r>
        <w:rPr>
          <w:rFonts w:hint="eastAsia"/>
          <w:b/>
          <w:sz w:val="28"/>
          <w:szCs w:val="28"/>
        </w:rPr>
        <w:t>工程量清单报价表</w:t>
      </w:r>
    </w:p>
    <w:p>
      <w:pPr>
        <w:rPr>
          <w:rFonts w:ascii="宋体" w:hAnsi="宋体"/>
          <w:b/>
          <w:sz w:val="28"/>
          <w:szCs w:val="28"/>
        </w:rPr>
      </w:pPr>
      <w:r>
        <w:rPr>
          <w:rFonts w:ascii="宋体" w:hAnsi="宋体"/>
          <w:b/>
          <w:sz w:val="28"/>
          <w:szCs w:val="28"/>
        </w:rPr>
        <w:t>（包括工程量清单报价表、主要设备、材料选用表）</w:t>
      </w:r>
      <w:r>
        <w:rPr>
          <w:rFonts w:hint="eastAsia" w:ascii="宋体" w:hAnsi="宋体"/>
          <w:b/>
          <w:sz w:val="28"/>
          <w:szCs w:val="28"/>
        </w:rPr>
        <w:t>：</w:t>
      </w:r>
    </w:p>
    <w:p>
      <w:pPr>
        <w:spacing w:line="520" w:lineRule="exact"/>
        <w:ind w:firstLine="560" w:firstLineChars="200"/>
        <w:rPr>
          <w:sz w:val="28"/>
          <w:szCs w:val="28"/>
        </w:rPr>
      </w:pPr>
      <w:r>
        <w:rPr>
          <w:rFonts w:hint="eastAsia"/>
          <w:sz w:val="28"/>
          <w:szCs w:val="28"/>
        </w:rPr>
        <w:t>供应商</w:t>
      </w:r>
      <w:r>
        <w:rPr>
          <w:sz w:val="28"/>
          <w:szCs w:val="28"/>
        </w:rPr>
        <w:t>必须填写工程量清单报价表、主要设备、材料选用表。如果表中所列内容无法满足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pPr>
        <w:ind w:firstLine="562" w:firstLineChars="200"/>
        <w:rPr>
          <w:sz w:val="28"/>
          <w:szCs w:val="28"/>
        </w:rPr>
      </w:pPr>
      <w:r>
        <w:rPr>
          <w:rFonts w:hint="eastAsia"/>
          <w:b/>
          <w:sz w:val="28"/>
          <w:szCs w:val="28"/>
        </w:rPr>
        <w:t>所投主材均须标明品牌</w:t>
      </w:r>
      <w:r>
        <w:rPr>
          <w:rFonts w:hint="eastAsia"/>
          <w:sz w:val="28"/>
          <w:szCs w:val="28"/>
        </w:rPr>
        <w:t>，否则将可能作为非实质性响应投标予以拒绝。</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附件六</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3"/>
        <w:ind w:left="720" w:firstLine="562"/>
        <w:jc w:val="center"/>
        <w:rPr>
          <w:b/>
          <w:sz w:val="28"/>
          <w:szCs w:val="28"/>
        </w:rPr>
      </w:pPr>
      <w:r>
        <w:rPr>
          <w:rFonts w:hint="eastAsia"/>
          <w:b/>
          <w:sz w:val="28"/>
          <w:szCs w:val="28"/>
        </w:rPr>
        <w:t>（2018年</w:t>
      </w:r>
      <w:r>
        <w:rPr>
          <w:rFonts w:hint="eastAsia"/>
          <w:b/>
          <w:sz w:val="28"/>
          <w:szCs w:val="28"/>
          <w:lang w:val="en-US" w:eastAsia="zh-CN"/>
        </w:rPr>
        <w:t>1</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iti SC Light">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FD16FD"/>
    <w:rsid w:val="191E18A8"/>
    <w:rsid w:val="1CA74248"/>
    <w:rsid w:val="1ED12DC7"/>
    <w:rsid w:val="1F7B525B"/>
    <w:rsid w:val="27F36A5B"/>
    <w:rsid w:val="2A7C6390"/>
    <w:rsid w:val="2B592D42"/>
    <w:rsid w:val="2F65547F"/>
    <w:rsid w:val="30862769"/>
    <w:rsid w:val="30ED6026"/>
    <w:rsid w:val="3CCA387C"/>
    <w:rsid w:val="3E294764"/>
    <w:rsid w:val="41795C12"/>
    <w:rsid w:val="434752D4"/>
    <w:rsid w:val="450F39F2"/>
    <w:rsid w:val="455627B7"/>
    <w:rsid w:val="473E600E"/>
    <w:rsid w:val="474655B0"/>
    <w:rsid w:val="489D396D"/>
    <w:rsid w:val="50901E9F"/>
    <w:rsid w:val="515D481A"/>
    <w:rsid w:val="5492079C"/>
    <w:rsid w:val="572E0F59"/>
    <w:rsid w:val="57C750E8"/>
    <w:rsid w:val="598343A6"/>
    <w:rsid w:val="602F1439"/>
    <w:rsid w:val="66382A35"/>
    <w:rsid w:val="670F0E44"/>
    <w:rsid w:val="67A369D6"/>
    <w:rsid w:val="683E490D"/>
    <w:rsid w:val="699F14B4"/>
    <w:rsid w:val="6A265765"/>
    <w:rsid w:val="6B060A2E"/>
    <w:rsid w:val="6B7C41CF"/>
    <w:rsid w:val="6C4760FC"/>
    <w:rsid w:val="6CA170BA"/>
    <w:rsid w:val="6D95366F"/>
    <w:rsid w:val="6E6A35B9"/>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0</TotalTime>
  <ScaleCrop>false</ScaleCrop>
  <LinksUpToDate>false</LinksUpToDate>
  <CharactersWithSpaces>7298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2021-07-16T09:20:21Z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B17A530588414CEF9998CB308EC40D01</vt:lpwstr>
  </property>
</Properties>
</file>