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山东第一医科大学附属青岛眼科医院人才公寓门窗更换改造项目竞争性磋商文件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0" w:name="OLE_LINK36"/>
      <w:bookmarkStart w:id="1" w:name="OLE_LINK35"/>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lang w:val="en-US" w:eastAsia="zh-CN"/>
        </w:rPr>
        <w:t>经营范围包含</w:t>
      </w:r>
      <w:r>
        <w:rPr>
          <w:rFonts w:hint="eastAsia" w:asciiTheme="minorEastAsia" w:hAnsiTheme="minorEastAsia" w:cstheme="minorEastAsia"/>
          <w:kern w:val="2"/>
          <w:sz w:val="28"/>
          <w:szCs w:val="28"/>
          <w:lang w:val="en-US" w:eastAsia="zh-CN" w:bidi="ar-SA"/>
        </w:rPr>
        <w:t>装饰装修经营项目；</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bookmarkEnd w:id="0"/>
      <w:bookmarkEnd w:id="1"/>
    </w:p>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*1.4.2工期及工程质保期等（不能低于磋商文件要求）；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h.文明施工、文物保护体系及保证措施；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w:t>
      </w:r>
      <w:r>
        <w:rPr>
          <w:rFonts w:hint="eastAsia"/>
          <w:sz w:val="28"/>
          <w:szCs w:val="28"/>
          <w:lang w:val="en-US" w:eastAsia="zh-CN"/>
        </w:rPr>
        <w:t>5</w:t>
      </w:r>
      <w:r>
        <w:rPr>
          <w:rFonts w:hint="eastAsia"/>
          <w:sz w:val="28"/>
          <w:szCs w:val="28"/>
        </w:rPr>
        <w:t>不符合竞争性磋商文件中规定的其他实质性要求。</w:t>
      </w:r>
    </w:p>
    <w:p>
      <w:pPr>
        <w:spacing w:line="360" w:lineRule="auto"/>
        <w:ind w:firstLine="560" w:firstLineChars="200"/>
        <w:rPr>
          <w:sz w:val="28"/>
          <w:szCs w:val="28"/>
        </w:rPr>
      </w:pPr>
      <w:r>
        <w:rPr>
          <w:rFonts w:hint="eastAsia"/>
          <w:sz w:val="28"/>
          <w:szCs w:val="28"/>
        </w:rPr>
        <w:t>6.1.</w:t>
      </w:r>
      <w:r>
        <w:rPr>
          <w:rFonts w:hint="eastAsia"/>
          <w:sz w:val="28"/>
          <w:szCs w:val="28"/>
          <w:lang w:val="en-US" w:eastAsia="zh-CN"/>
        </w:rPr>
        <w:t>6</w:t>
      </w:r>
      <w:r>
        <w:rPr>
          <w:rFonts w:hint="eastAsia"/>
          <w:sz w:val="28"/>
          <w:szCs w:val="28"/>
        </w:rPr>
        <w:t>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19"/>
      <w:bookmarkStart w:id="3" w:name="OLE_LINK15"/>
      <w:bookmarkStart w:id="4" w:name="OLE_LINK18"/>
      <w:bookmarkStart w:id="5" w:name="OLE_LINK17"/>
      <w:bookmarkStart w:id="6" w:name="OLE_LINK16"/>
      <w:bookmarkStart w:id="7" w:name="OLE_LINK20"/>
      <w:bookmarkStart w:id="8" w:name="OLE_LINK21"/>
      <w:r>
        <w:rPr>
          <w:rFonts w:hint="eastAsia"/>
          <w:b/>
          <w:sz w:val="28"/>
          <w:szCs w:val="28"/>
        </w:rPr>
        <w:t>一、项目概况</w:t>
      </w:r>
    </w:p>
    <w:p>
      <w:pPr>
        <w:ind w:firstLine="560" w:firstLineChars="200"/>
        <w:rPr>
          <w:rFonts w:hint="default"/>
          <w:sz w:val="28"/>
          <w:szCs w:val="28"/>
          <w:highlight w:val="none"/>
          <w:lang w:val="en-US"/>
        </w:rPr>
      </w:pPr>
      <w:r>
        <w:rPr>
          <w:rFonts w:hint="eastAsia"/>
          <w:sz w:val="28"/>
          <w:szCs w:val="28"/>
          <w:highlight w:val="none"/>
        </w:rPr>
        <w:t>1、</w:t>
      </w:r>
      <w:r>
        <w:rPr>
          <w:rFonts w:hint="eastAsia"/>
          <w:sz w:val="28"/>
          <w:szCs w:val="28"/>
          <w:highlight w:val="none"/>
          <w:lang w:val="en-US" w:eastAsia="zh-CN"/>
        </w:rPr>
        <w:t>青岛眼科医院人才公寓门窗更换改造，主要工作项包括：</w:t>
      </w:r>
      <w:r>
        <w:rPr>
          <w:rFonts w:hint="eastAsia"/>
          <w:sz w:val="28"/>
          <w:szCs w:val="28"/>
          <w:lang w:val="en-US" w:eastAsia="zh-CN"/>
        </w:rPr>
        <w:t>推拉门定做安装、窗户定做安装、实木木门定做安装</w:t>
      </w:r>
      <w:r>
        <w:rPr>
          <w:rFonts w:hint="eastAsia"/>
          <w:sz w:val="28"/>
          <w:szCs w:val="28"/>
          <w:highlight w:val="none"/>
          <w:lang w:val="en-US" w:eastAsia="zh-CN"/>
        </w:rPr>
        <w:t>等。</w:t>
      </w:r>
    </w:p>
    <w:p>
      <w:pPr>
        <w:rPr>
          <w:sz w:val="28"/>
          <w:szCs w:val="28"/>
          <w:highlight w:val="none"/>
        </w:rPr>
      </w:pPr>
      <w:r>
        <w:rPr>
          <w:rFonts w:hint="eastAsia"/>
          <w:sz w:val="28"/>
          <w:szCs w:val="28"/>
        </w:rPr>
        <w:t xml:space="preserve">    2、采购控制价</w:t>
      </w:r>
      <w:r>
        <w:rPr>
          <w:rFonts w:hint="eastAsia"/>
          <w:sz w:val="28"/>
          <w:szCs w:val="28"/>
          <w:lang w:eastAsia="zh-CN"/>
        </w:rPr>
        <w:t>：</w:t>
      </w:r>
      <w:r>
        <w:rPr>
          <w:rFonts w:hint="eastAsia"/>
          <w:sz w:val="28"/>
          <w:szCs w:val="28"/>
          <w:lang w:val="en-US" w:eastAsia="zh-CN"/>
        </w:rPr>
        <w:t>50</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60天</w:t>
      </w:r>
    </w:p>
    <w:p>
      <w:pPr>
        <w:spacing w:line="360" w:lineRule="auto"/>
        <w:ind w:firstLine="560" w:firstLineChars="200"/>
        <w:rPr>
          <w:sz w:val="28"/>
          <w:szCs w:val="28"/>
        </w:rPr>
      </w:pPr>
      <w:r>
        <w:rPr>
          <w:rFonts w:hint="eastAsia"/>
          <w:sz w:val="28"/>
          <w:szCs w:val="28"/>
        </w:rPr>
        <w:t>4、质保期：整体质保期自竣工验收合格之日起不低于</w:t>
      </w:r>
      <w:r>
        <w:rPr>
          <w:rFonts w:hint="eastAsia"/>
          <w:sz w:val="28"/>
          <w:szCs w:val="28"/>
          <w:lang w:val="en-US" w:eastAsia="zh-CN"/>
        </w:rPr>
        <w:t>2</w:t>
      </w:r>
      <w:r>
        <w:rPr>
          <w:rFonts w:hint="eastAsia"/>
          <w:sz w:val="28"/>
          <w:szCs w:val="28"/>
        </w:rPr>
        <w:t>年。</w:t>
      </w:r>
    </w:p>
    <w:p>
      <w:pPr>
        <w:ind w:firstLine="275" w:firstLineChars="98"/>
        <w:jc w:val="left"/>
        <w:rPr>
          <w:b/>
          <w:sz w:val="28"/>
          <w:szCs w:val="28"/>
        </w:rPr>
      </w:pPr>
      <w:r>
        <w:rPr>
          <w:rFonts w:hint="eastAsia"/>
          <w:b/>
          <w:sz w:val="28"/>
          <w:szCs w:val="28"/>
        </w:rPr>
        <w:t>二、技术要求</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1、安装所用材料，必须选用质量达标，对人和环境无毒无害的绿色环保材料。</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2、保证安全、文明施工，要求施工场地整洁有序。</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3、必须严格按照国家工程技术规范标准安装。</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4、施工现场要求整洁、有序，无违章施工。</w:t>
      </w:r>
    </w:p>
    <w:p>
      <w:pPr>
        <w:rPr>
          <w:b/>
          <w:sz w:val="30"/>
          <w:szCs w:val="30"/>
        </w:rPr>
      </w:pPr>
      <w:r>
        <w:rPr>
          <w:rFonts w:hint="eastAsia"/>
          <w:b/>
          <w:sz w:val="30"/>
          <w:szCs w:val="30"/>
        </w:rPr>
        <w:t xml:space="preserve">  三、主材要求</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lang w:eastAsia="zh-CN"/>
        </w:rPr>
      </w:pPr>
      <w:r>
        <w:rPr>
          <w:rFonts w:hint="eastAsia"/>
          <w:sz w:val="28"/>
          <w:szCs w:val="28"/>
          <w:lang w:val="en-US" w:eastAsia="zh-CN"/>
        </w:rPr>
        <w:t>1、</w:t>
      </w:r>
      <w:r>
        <w:rPr>
          <w:rFonts w:hint="eastAsia"/>
          <w:sz w:val="28"/>
          <w:szCs w:val="28"/>
          <w:lang w:eastAsia="zh-CN"/>
        </w:rPr>
        <w:t>铝合金</w:t>
      </w:r>
      <w:r>
        <w:rPr>
          <w:rFonts w:hint="eastAsia"/>
          <w:sz w:val="28"/>
          <w:szCs w:val="28"/>
          <w:lang w:val="en-US" w:eastAsia="zh-CN"/>
        </w:rPr>
        <w:t>推拉门</w:t>
      </w:r>
      <w:r>
        <w:rPr>
          <w:rFonts w:hint="eastAsia"/>
          <w:sz w:val="28"/>
          <w:szCs w:val="28"/>
          <w:lang w:eastAsia="zh-CN"/>
        </w:rPr>
        <w:t>（品牌：</w:t>
      </w:r>
      <w:r>
        <w:rPr>
          <w:rFonts w:hint="eastAsia"/>
          <w:sz w:val="28"/>
          <w:szCs w:val="28"/>
          <w:lang w:val="en-US" w:eastAsia="zh-CN"/>
        </w:rPr>
        <w:t>欧迪克或派雅</w:t>
      </w:r>
      <w:r>
        <w:rPr>
          <w:rFonts w:hint="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lang w:val="en-US" w:eastAsia="zh-CN"/>
        </w:rPr>
      </w:pPr>
      <w:r>
        <w:rPr>
          <w:rFonts w:hint="eastAsia"/>
          <w:sz w:val="28"/>
          <w:szCs w:val="28"/>
          <w:lang w:val="en-US" w:eastAsia="zh-CN"/>
        </w:rPr>
        <w:t>2、铝包木窗户</w:t>
      </w:r>
      <w:r>
        <w:rPr>
          <w:rFonts w:hint="eastAsia"/>
          <w:sz w:val="28"/>
          <w:szCs w:val="28"/>
          <w:lang w:eastAsia="zh-CN"/>
        </w:rPr>
        <w:t>（品牌：</w:t>
      </w:r>
      <w:r>
        <w:rPr>
          <w:rFonts w:hint="eastAsia"/>
          <w:sz w:val="28"/>
          <w:szCs w:val="28"/>
          <w:lang w:val="en-US" w:eastAsia="zh-CN"/>
        </w:rPr>
        <w:t>森鹰或米兰</w:t>
      </w:r>
      <w:r>
        <w:rPr>
          <w:rFonts w:hint="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lang w:val="en-US" w:eastAsia="zh-CN"/>
        </w:rPr>
      </w:pPr>
      <w:r>
        <w:rPr>
          <w:rFonts w:hint="eastAsia"/>
          <w:sz w:val="28"/>
          <w:szCs w:val="28"/>
          <w:lang w:val="en-US" w:eastAsia="zh-CN"/>
        </w:rPr>
        <w:t>3、实木木门（</w:t>
      </w:r>
      <w:r>
        <w:rPr>
          <w:rFonts w:hint="eastAsia"/>
          <w:sz w:val="28"/>
          <w:szCs w:val="28"/>
          <w:lang w:eastAsia="zh-CN"/>
        </w:rPr>
        <w:t>品牌：</w:t>
      </w:r>
      <w:r>
        <w:rPr>
          <w:rFonts w:hint="eastAsia"/>
          <w:sz w:val="28"/>
          <w:szCs w:val="28"/>
          <w:lang w:val="en-US" w:eastAsia="zh-CN"/>
        </w:rPr>
        <w:t>东威利或万家园）</w:t>
      </w:r>
    </w:p>
    <w:p>
      <w:pPr>
        <w:rPr>
          <w:rFonts w:hint="eastAsia"/>
          <w:b/>
          <w:sz w:val="30"/>
          <w:szCs w:val="30"/>
        </w:rPr>
      </w:pPr>
      <w:r>
        <w:rPr>
          <w:rFonts w:hint="eastAsia"/>
          <w:b/>
          <w:sz w:val="30"/>
          <w:szCs w:val="30"/>
        </w:rPr>
        <w:t xml:space="preserve"> 四、工程量清单说明及报价说明</w:t>
      </w:r>
    </w:p>
    <w:p>
      <w:pPr>
        <w:ind w:firstLine="280" w:firstLineChars="100"/>
        <w:rPr>
          <w:sz w:val="28"/>
          <w:szCs w:val="28"/>
        </w:rPr>
      </w:pPr>
      <w:r>
        <w:rPr>
          <w:rFonts w:hint="eastAsia"/>
          <w:sz w:val="28"/>
          <w:szCs w:val="28"/>
        </w:rPr>
        <w:t>（一）工程量清单说明</w:t>
      </w:r>
    </w:p>
    <w:p>
      <w:pPr>
        <w:ind w:firstLine="560" w:firstLineChars="200"/>
        <w:rPr>
          <w:sz w:val="28"/>
          <w:szCs w:val="28"/>
        </w:rPr>
      </w:pPr>
      <w:r>
        <w:rPr>
          <w:rFonts w:hint="eastAsia"/>
          <w:sz w:val="28"/>
          <w:szCs w:val="28"/>
        </w:rPr>
        <w:t>1、本工程量清单是根据磋商文件中包括的、有合同约束力的图纸以及有关工程量清单的国家标准、行业标准、合同条款中约定的工程量计算规则编制。</w:t>
      </w:r>
    </w:p>
    <w:p>
      <w:pPr>
        <w:ind w:firstLine="560" w:firstLineChars="200"/>
        <w:rPr>
          <w:sz w:val="28"/>
          <w:szCs w:val="28"/>
        </w:rPr>
      </w:pPr>
      <w:r>
        <w:rPr>
          <w:rFonts w:hint="eastAsia"/>
          <w:sz w:val="28"/>
          <w:szCs w:val="28"/>
        </w:rPr>
        <w:t>2、本工程量清单应与磋商文件中的供应商须知、通用合同条款、专用合同条款、技术标准和要求及图纸等一起阅读和理解。</w:t>
      </w:r>
    </w:p>
    <w:p>
      <w:pPr>
        <w:ind w:firstLine="560" w:firstLineChars="200"/>
        <w:rPr>
          <w:sz w:val="28"/>
          <w:szCs w:val="28"/>
        </w:rPr>
      </w:pPr>
      <w:r>
        <w:rPr>
          <w:rFonts w:hint="eastAsia"/>
          <w:sz w:val="28"/>
          <w:szCs w:val="28"/>
        </w:rPr>
        <w:t>3、本工程量清单仅是报价的共同基础，实际工程计量和工程价款的支付应遵循合同条款的约定和本章有关规定。</w:t>
      </w:r>
    </w:p>
    <w:p>
      <w:pPr>
        <w:spacing w:line="360" w:lineRule="auto"/>
        <w:ind w:firstLine="280" w:firstLineChars="100"/>
        <w:rPr>
          <w:sz w:val="28"/>
          <w:szCs w:val="28"/>
        </w:rPr>
      </w:pPr>
      <w:r>
        <w:rPr>
          <w:rFonts w:hint="eastAsia"/>
          <w:sz w:val="28"/>
          <w:szCs w:val="28"/>
        </w:rPr>
        <w:t>（二）报价说明</w:t>
      </w:r>
    </w:p>
    <w:p>
      <w:pPr>
        <w:spacing w:line="360" w:lineRule="auto"/>
        <w:ind w:firstLine="560" w:firstLineChars="200"/>
        <w:rPr>
          <w:sz w:val="28"/>
          <w:szCs w:val="28"/>
        </w:rPr>
      </w:pPr>
      <w:r>
        <w:rPr>
          <w:rFonts w:hint="eastAsia"/>
          <w:sz w:val="28"/>
          <w:szCs w:val="28"/>
        </w:rPr>
        <w:t>1、工程量清单中的每一子目须填入单价或价格，且只允许有一个报价。</w:t>
      </w:r>
    </w:p>
    <w:p>
      <w:pPr>
        <w:spacing w:line="360" w:lineRule="auto"/>
        <w:ind w:firstLine="560" w:firstLineChars="200"/>
        <w:rPr>
          <w:sz w:val="28"/>
          <w:szCs w:val="28"/>
        </w:rPr>
      </w:pPr>
      <w:r>
        <w:rPr>
          <w:rFonts w:hint="eastAsia"/>
          <w:sz w:val="28"/>
          <w:szCs w:val="28"/>
        </w:rPr>
        <w:t>2、工程量清单成交价的单价或金额，应包括所需的人工费、材料和施工机具使用费和企业管理费、利润以及一定范围内的风险费用等。</w:t>
      </w:r>
    </w:p>
    <w:p>
      <w:pPr>
        <w:spacing w:line="360" w:lineRule="auto"/>
        <w:ind w:firstLine="560" w:firstLineChars="200"/>
        <w:rPr>
          <w:sz w:val="28"/>
          <w:szCs w:val="28"/>
        </w:rPr>
      </w:pPr>
      <w:r>
        <w:rPr>
          <w:rFonts w:hint="eastAsia"/>
          <w:sz w:val="28"/>
          <w:szCs w:val="28"/>
        </w:rPr>
        <w:t>3、工程量清单中供应商没有填入单价或价格的子目，其费用视为已分摊在工程量清单中其他相关子目的单价或价格之中。</w:t>
      </w:r>
    </w:p>
    <w:p>
      <w:pPr>
        <w:ind w:firstLine="413" w:firstLineChars="147"/>
        <w:jc w:val="left"/>
        <w:rPr>
          <w:b/>
          <w:sz w:val="28"/>
          <w:szCs w:val="28"/>
        </w:rPr>
      </w:pPr>
      <w:r>
        <w:rPr>
          <w:rFonts w:hint="eastAsia"/>
          <w:b/>
          <w:sz w:val="28"/>
          <w:szCs w:val="28"/>
        </w:rPr>
        <w:t>五、其他要求</w:t>
      </w:r>
    </w:p>
    <w:p>
      <w:pPr>
        <w:ind w:firstLine="560" w:firstLineChars="200"/>
        <w:jc w:val="lef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本</w:t>
      </w:r>
      <w:r>
        <w:rPr>
          <w:rFonts w:hint="eastAsia" w:ascii="宋体" w:hAnsi="宋体" w:cs="宋体"/>
          <w:b w:val="0"/>
          <w:bCs w:val="0"/>
          <w:kern w:val="2"/>
          <w:sz w:val="28"/>
          <w:szCs w:val="28"/>
          <w:lang w:val="en-US" w:eastAsia="zh-CN" w:bidi="ar-SA"/>
        </w:rPr>
        <w:t>项目</w:t>
      </w:r>
      <w:r>
        <w:rPr>
          <w:rFonts w:hint="eastAsia" w:ascii="宋体" w:hAnsi="宋体" w:eastAsia="宋体" w:cs="宋体"/>
          <w:b w:val="0"/>
          <w:bCs w:val="0"/>
          <w:kern w:val="2"/>
          <w:sz w:val="28"/>
          <w:szCs w:val="28"/>
          <w:lang w:val="en-US" w:eastAsia="zh-CN" w:bidi="ar-SA"/>
        </w:rPr>
        <w:t>结束后工程量据实审计，不上机套定额，按照市场价进行审计结算。清单内结算价不超过招标总价</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报价清单外如因甲方变更及追加按签证单或</w:t>
      </w:r>
      <w:r>
        <w:rPr>
          <w:rFonts w:hint="eastAsia" w:ascii="宋体" w:hAnsi="宋体" w:cs="宋体"/>
          <w:b w:val="0"/>
          <w:bCs w:val="0"/>
          <w:kern w:val="2"/>
          <w:sz w:val="28"/>
          <w:szCs w:val="28"/>
          <w:lang w:val="en-US" w:eastAsia="zh-CN" w:bidi="ar-SA"/>
        </w:rPr>
        <w:t>图纸</w:t>
      </w:r>
      <w:r>
        <w:rPr>
          <w:rFonts w:hint="eastAsia" w:ascii="宋体" w:hAnsi="宋体" w:eastAsia="宋体" w:cs="宋体"/>
          <w:b w:val="0"/>
          <w:bCs w:val="0"/>
          <w:kern w:val="2"/>
          <w:sz w:val="28"/>
          <w:szCs w:val="28"/>
          <w:lang w:val="en-US" w:eastAsia="zh-CN" w:bidi="ar-SA"/>
        </w:rPr>
        <w:t>结算 。</w:t>
      </w:r>
    </w:p>
    <w:p>
      <w:pPr>
        <w:ind w:firstLine="560" w:firstLineChars="200"/>
        <w:jc w:val="left"/>
        <w:rPr>
          <w:rFonts w:hint="eastAsia" w:ascii="宋体" w:hAnsi="宋体" w:eastAsia="宋体" w:cs="宋体"/>
          <w:b w:val="0"/>
          <w:bCs w:val="0"/>
          <w:kern w:val="2"/>
          <w:sz w:val="28"/>
          <w:szCs w:val="28"/>
          <w:lang w:val="en-US" w:eastAsia="zh-CN" w:bidi="ar-SA"/>
        </w:rPr>
      </w:pPr>
    </w:p>
    <w:p>
      <w:pPr>
        <w:ind w:firstLine="560" w:firstLineChars="200"/>
        <w:jc w:val="left"/>
        <w:rPr>
          <w:rFonts w:hint="eastAsia" w:ascii="宋体" w:hAnsi="宋体" w:eastAsia="宋体" w:cs="宋体"/>
          <w:b w:val="0"/>
          <w:bCs w:val="0"/>
          <w:kern w:val="2"/>
          <w:sz w:val="28"/>
          <w:szCs w:val="28"/>
          <w:lang w:val="en-US" w:eastAsia="zh-CN" w:bidi="ar-SA"/>
        </w:rPr>
      </w:pPr>
    </w:p>
    <w:p>
      <w:pPr>
        <w:ind w:firstLine="560" w:firstLineChars="200"/>
        <w:jc w:val="left"/>
        <w:rPr>
          <w:rFonts w:hint="eastAsia" w:ascii="宋体" w:hAnsi="宋体" w:eastAsia="宋体" w:cs="宋体"/>
          <w:b w:val="0"/>
          <w:bCs w:val="0"/>
          <w:kern w:val="2"/>
          <w:sz w:val="28"/>
          <w:szCs w:val="28"/>
          <w:lang w:val="en-US" w:eastAsia="zh-CN" w:bidi="ar-SA"/>
        </w:rPr>
      </w:pPr>
      <w:bookmarkStart w:id="11" w:name="_GoBack"/>
      <w:bookmarkEnd w:id="11"/>
    </w:p>
    <w:p>
      <w:pPr>
        <w:widowControl/>
        <w:jc w:val="center"/>
        <w:rPr>
          <w:rFonts w:hint="eastAsia" w:cs="Helvetica" w:asciiTheme="minorEastAsia" w:hAnsiTheme="minorEastAsia"/>
          <w:b/>
          <w:color w:val="333333"/>
          <w:sz w:val="28"/>
          <w:szCs w:val="28"/>
        </w:rPr>
      </w:pPr>
    </w:p>
    <w:p>
      <w:pPr>
        <w:widowControl/>
        <w:jc w:val="center"/>
        <w:rPr>
          <w:rFonts w:cs="Helvetica" w:asciiTheme="minorEastAsia" w:hAnsiTheme="minorEastAsia"/>
          <w:b/>
          <w:color w:val="auto"/>
          <w:sz w:val="28"/>
          <w:szCs w:val="28"/>
        </w:rPr>
      </w:pPr>
      <w:r>
        <w:rPr>
          <w:rFonts w:hint="eastAsia" w:cs="Helvetica" w:asciiTheme="minorEastAsia" w:hAnsiTheme="minorEastAsia"/>
          <w:b/>
          <w:color w:val="auto"/>
          <w:sz w:val="28"/>
          <w:szCs w:val="28"/>
        </w:rPr>
        <w:t>第三章  评分标准</w:t>
      </w:r>
    </w:p>
    <w:bookmarkEnd w:id="2"/>
    <w:bookmarkEnd w:id="3"/>
    <w:bookmarkEnd w:id="4"/>
    <w:bookmarkEnd w:id="5"/>
    <w:bookmarkEnd w:id="6"/>
    <w:bookmarkEnd w:id="7"/>
    <w:bookmarkEnd w:id="8"/>
    <w:tbl>
      <w:tblPr>
        <w:tblStyle w:val="8"/>
        <w:tblW w:w="99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gridCol w:w="8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096"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7047"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02" w:hRule="atLeast"/>
          <w:jc w:val="center"/>
        </w:trPr>
        <w:tc>
          <w:tcPr>
            <w:tcW w:w="2096" w:type="dxa"/>
            <w:vAlign w:val="center"/>
          </w:tcPr>
          <w:p>
            <w:pPr>
              <w:widowControl/>
              <w:adjustRightInd w:val="0"/>
              <w:snapToGrid w:val="0"/>
              <w:spacing w:line="400" w:lineRule="exact"/>
              <w:ind w:right="-50" w:rightChars="-24" w:firstLine="480"/>
              <w:rPr>
                <w:rFonts w:hint="eastAsia" w:ascii="仿宋_GB2312" w:hAnsi="宋体" w:eastAsia="仿宋_GB2312"/>
                <w:bCs/>
                <w:sz w:val="24"/>
                <w:szCs w:val="24"/>
              </w:rPr>
            </w:pPr>
            <w:r>
              <w:rPr>
                <w:rFonts w:hint="eastAsia" w:ascii="仿宋_GB2312" w:hAnsi="宋体" w:eastAsia="仿宋_GB2312"/>
                <w:bCs/>
                <w:sz w:val="24"/>
                <w:szCs w:val="24"/>
              </w:rPr>
              <w:t>报  价</w:t>
            </w:r>
          </w:p>
          <w:p>
            <w:pPr>
              <w:widowControl/>
              <w:adjustRightInd w:val="0"/>
              <w:snapToGrid w:val="0"/>
              <w:spacing w:line="400" w:lineRule="exact"/>
              <w:ind w:right="-50" w:rightChars="-24" w:firstLine="290" w:firstLineChars="121"/>
              <w:rPr>
                <w:rFonts w:hint="eastAsia" w:ascii="仿宋_GB2312" w:hAnsi="宋体" w:eastAsia="仿宋_GB2312"/>
                <w:bCs/>
                <w:sz w:val="24"/>
                <w:szCs w:val="24"/>
              </w:rPr>
            </w:pPr>
            <w:r>
              <w:rPr>
                <w:rFonts w:hint="eastAsia" w:ascii="仿宋_GB2312" w:hAnsi="宋体" w:eastAsia="仿宋_GB2312"/>
                <w:bCs/>
                <w:sz w:val="24"/>
                <w:szCs w:val="24"/>
              </w:rPr>
              <w:t>（30分）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eastAsia="仿宋_GB2312"/>
                <w:sz w:val="24"/>
              </w:rPr>
              <w:t>满足磋商文件要求且投标价格最低的最终报价为评标基准价，其 价格分为满分（30 分）。其他投标人的价格分统一按照下列公式 计算：投标报价得分＝（评标基准价／投标报价)×30×100%。</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2096" w:type="dxa"/>
            <w:vAlign w:val="center"/>
          </w:tcPr>
          <w:p>
            <w:pPr>
              <w:spacing w:line="360" w:lineRule="exact"/>
              <w:jc w:val="center"/>
              <w:rPr>
                <w:rFonts w:hint="eastAsia" w:ascii="仿宋_GB2312" w:hAnsi="宋体" w:eastAsia="仿宋_GB2312"/>
                <w:bCs/>
                <w:sz w:val="24"/>
                <w:szCs w:val="24"/>
              </w:rPr>
            </w:pPr>
            <w:r>
              <w:rPr>
                <w:rFonts w:hint="eastAsia" w:ascii="仿宋_GB2312" w:hAnsi="宋体" w:eastAsia="仿宋_GB2312"/>
                <w:bCs/>
                <w:sz w:val="24"/>
                <w:szCs w:val="24"/>
              </w:rPr>
              <w:t>企业业绩</w:t>
            </w:r>
          </w:p>
          <w:p>
            <w:pPr>
              <w:spacing w:line="360" w:lineRule="exact"/>
              <w:jc w:val="center"/>
              <w:rPr>
                <w:rFonts w:hint="eastAsia" w:ascii="仿宋_GB2312" w:hAnsi="宋体" w:eastAsia="仿宋_GB2312"/>
                <w:bCs/>
                <w:sz w:val="24"/>
                <w:szCs w:val="24"/>
              </w:rPr>
            </w:pPr>
            <w:r>
              <w:rPr>
                <w:rFonts w:hint="eastAsia" w:ascii="仿宋_GB2312" w:hAnsi="宋体" w:eastAsia="仿宋_GB2312"/>
                <w:bCs/>
                <w:sz w:val="24"/>
                <w:szCs w:val="24"/>
              </w:rPr>
              <w:t>（6分）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投标人 201</w:t>
            </w:r>
            <w:r>
              <w:rPr>
                <w:rFonts w:hint="eastAsia" w:ascii="仿宋_GB2312" w:hAnsi="宋体" w:eastAsia="仿宋_GB2312"/>
                <w:bCs/>
                <w:sz w:val="24"/>
                <w:szCs w:val="24"/>
                <w:lang w:val="en-US" w:eastAsia="zh-CN"/>
              </w:rPr>
              <w:t>8</w:t>
            </w:r>
            <w:r>
              <w:rPr>
                <w:rFonts w:hint="eastAsia" w:ascii="仿宋_GB2312" w:hAnsi="宋体" w:eastAsia="仿宋_GB2312"/>
                <w:bCs/>
                <w:sz w:val="24"/>
                <w:szCs w:val="24"/>
              </w:rPr>
              <w:t xml:space="preserve"> 年 1 月 1 日后签订的同类项目业绩，合同金额100 万元及以上，每提供一份得2分，最高得6分（业绩证明需提供合同及竣工验收证明原件，二者缺一不可，否则不得分）。 </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096" w:type="dxa"/>
            <w:tcBorders>
              <w:bottom w:val="single" w:color="auto" w:sz="4" w:space="0"/>
            </w:tcBorders>
            <w:vAlign w:val="center"/>
          </w:tcPr>
          <w:p>
            <w:pPr>
              <w:widowControl/>
              <w:adjustRightInd w:val="0"/>
              <w:snapToGrid w:val="0"/>
              <w:spacing w:line="400" w:lineRule="exact"/>
              <w:ind w:right="-50" w:rightChars="-24" w:firstLine="290" w:firstLineChars="121"/>
              <w:jc w:val="center"/>
              <w:rPr>
                <w:rFonts w:hint="eastAsia" w:ascii="仿宋_GB2312" w:hAnsi="宋体" w:eastAsia="仿宋_GB2312"/>
                <w:bCs/>
                <w:sz w:val="24"/>
                <w:szCs w:val="24"/>
              </w:rPr>
            </w:pPr>
            <w:r>
              <w:rPr>
                <w:rFonts w:hint="eastAsia" w:ascii="仿宋_GB2312" w:hAnsi="宋体" w:eastAsia="仿宋_GB2312"/>
                <w:bCs/>
                <w:sz w:val="24"/>
                <w:szCs w:val="24"/>
              </w:rPr>
              <w:t>质保期</w:t>
            </w:r>
          </w:p>
          <w:p>
            <w:pPr>
              <w:widowControl/>
              <w:adjustRightInd w:val="0"/>
              <w:snapToGrid w:val="0"/>
              <w:spacing w:line="400" w:lineRule="exact"/>
              <w:ind w:right="-50" w:rightChars="-24" w:firstLine="290" w:firstLineChars="121"/>
              <w:jc w:val="center"/>
              <w:rPr>
                <w:rFonts w:hint="eastAsia" w:ascii="仿宋_GB2312" w:hAnsi="宋体" w:eastAsia="仿宋_GB2312"/>
                <w:bCs/>
                <w:sz w:val="24"/>
                <w:szCs w:val="24"/>
              </w:rPr>
            </w:pPr>
            <w:r>
              <w:rPr>
                <w:rFonts w:hint="eastAsia" w:ascii="仿宋_GB2312" w:hAnsi="宋体" w:eastAsia="仿宋_GB2312"/>
                <w:bCs/>
                <w:sz w:val="24"/>
                <w:szCs w:val="24"/>
              </w:rPr>
              <w:t>（2分）</w:t>
            </w:r>
          </w:p>
        </w:tc>
        <w:tc>
          <w:tcPr>
            <w:tcW w:w="7047" w:type="dxa"/>
            <w:tcBorders>
              <w:bottom w:val="single" w:color="auto" w:sz="4" w:space="0"/>
            </w:tcBorders>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在满足磋商文件的基础上质保期每延长1年加1分，最高得2分。</w:t>
            </w:r>
          </w:p>
        </w:tc>
        <w:tc>
          <w:tcPr>
            <w:tcW w:w="802" w:type="dxa"/>
            <w:tcBorders>
              <w:bottom w:val="single" w:color="auto" w:sz="4" w:space="0"/>
            </w:tcBorders>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资信及履约能力</w:t>
            </w:r>
          </w:p>
          <w:p>
            <w:pPr>
              <w:widowControl/>
              <w:adjustRightInd w:val="0"/>
              <w:snapToGrid w:val="0"/>
              <w:spacing w:line="400" w:lineRule="exact"/>
              <w:ind w:left="480" w:right="-50" w:rightChars="-24" w:hanging="480" w:hangingChars="200"/>
              <w:jc w:val="center"/>
              <w:rPr>
                <w:rFonts w:ascii="仿宋_GB2312" w:hAnsi="宋体" w:eastAsia="仿宋_GB2312"/>
                <w:sz w:val="24"/>
                <w:szCs w:val="24"/>
              </w:rPr>
            </w:pPr>
            <w:r>
              <w:rPr>
                <w:rFonts w:hint="eastAsia" w:ascii="仿宋_GB2312" w:hAnsi="宋体" w:eastAsia="仿宋_GB2312"/>
                <w:sz w:val="24"/>
                <w:szCs w:val="24"/>
              </w:rPr>
              <w:t>（5分）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0" w:right="-50" w:rightChars="-24" w:hanging="480" w:hangingChars="200"/>
              <w:jc w:val="left"/>
              <w:rPr>
                <w:rFonts w:hint="eastAsia" w:ascii="仿宋_GB2312" w:hAnsi="宋体" w:eastAsia="仿宋_GB2312"/>
                <w:sz w:val="24"/>
                <w:szCs w:val="24"/>
              </w:rPr>
            </w:pPr>
            <w:r>
              <w:rPr>
                <w:rFonts w:hint="eastAsia" w:ascii="仿宋_GB2312" w:hAnsi="宋体" w:eastAsia="仿宋_GB2312"/>
                <w:sz w:val="24"/>
                <w:szCs w:val="24"/>
              </w:rPr>
              <w:t>综合考虑投标人财务状况、资信情况、同类工程质量</w:t>
            </w:r>
            <w:r>
              <w:rPr>
                <w:rFonts w:ascii="仿宋_GB2312" w:hAnsi="宋体" w:eastAsia="仿宋_GB2312"/>
                <w:sz w:val="24"/>
                <w:szCs w:val="24"/>
              </w:rPr>
              <w:t>/</w:t>
            </w:r>
            <w:r>
              <w:rPr>
                <w:rFonts w:hint="eastAsia" w:ascii="仿宋_GB2312" w:hAnsi="宋体" w:eastAsia="仿宋_GB2312"/>
                <w:sz w:val="24"/>
                <w:szCs w:val="24"/>
              </w:rPr>
              <w:t>产品供货履</w:t>
            </w:r>
          </w:p>
          <w:p>
            <w:pPr>
              <w:widowControl/>
              <w:autoSpaceDE w:val="0"/>
              <w:autoSpaceDN w:val="0"/>
              <w:adjustRightInd w:val="0"/>
              <w:snapToGrid w:val="0"/>
              <w:spacing w:line="400" w:lineRule="exact"/>
              <w:ind w:left="480" w:right="-50" w:rightChars="-24" w:hanging="480" w:hangingChars="200"/>
              <w:jc w:val="left"/>
              <w:rPr>
                <w:rFonts w:ascii="仿宋_GB2312" w:hAnsi="宋体" w:eastAsia="仿宋_GB2312"/>
                <w:sz w:val="24"/>
                <w:szCs w:val="24"/>
              </w:rPr>
            </w:pPr>
            <w:r>
              <w:rPr>
                <w:rFonts w:hint="eastAsia" w:ascii="仿宋_GB2312" w:hAnsi="宋体" w:eastAsia="仿宋_GB2312"/>
                <w:sz w:val="24"/>
                <w:szCs w:val="24"/>
              </w:rPr>
              <w:t>约能力等方面的情况，得1-5分。</w:t>
            </w:r>
          </w:p>
        </w:tc>
        <w:tc>
          <w:tcPr>
            <w:tcW w:w="802" w:type="dxa"/>
            <w:tcBorders>
              <w:top w:val="single" w:color="auto" w:sz="4" w:space="0"/>
              <w:left w:val="single" w:color="auto" w:sz="4" w:space="0"/>
              <w:bottom w:val="single" w:color="auto" w:sz="4" w:space="0"/>
            </w:tcBorders>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b/>
                <w:sz w:val="24"/>
                <w:szCs w:val="24"/>
              </w:rPr>
              <w:t>5分</w:t>
            </w:r>
          </w:p>
          <w:p>
            <w:pPr>
              <w:adjustRightInd w:val="0"/>
              <w:snapToGrid w:val="0"/>
              <w:spacing w:line="400" w:lineRule="exact"/>
              <w:ind w:right="-50" w:rightChars="-24"/>
              <w:jc w:val="center"/>
              <w:rPr>
                <w:rFonts w:hint="eastAsia" w:ascii="仿宋_GB2312" w:hAnsi="仿宋"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left"/>
              <w:rPr>
                <w:rFonts w:hint="eastAsia" w:ascii="仿宋_GB2312" w:hAnsi="宋体" w:eastAsia="仿宋_GB2312"/>
                <w:sz w:val="24"/>
                <w:szCs w:val="24"/>
              </w:rPr>
            </w:pPr>
            <w:r>
              <w:rPr>
                <w:rFonts w:hint="eastAsia" w:ascii="仿宋_GB2312" w:hAnsi="宋体" w:eastAsia="仿宋_GB2312"/>
                <w:sz w:val="24"/>
                <w:szCs w:val="24"/>
              </w:rPr>
              <w:t>主材质量、品牌</w:t>
            </w:r>
          </w:p>
          <w:p>
            <w:pPr>
              <w:widowControl/>
              <w:adjustRightInd w:val="0"/>
              <w:snapToGrid w:val="0"/>
              <w:spacing w:line="400" w:lineRule="exact"/>
              <w:ind w:left="480" w:right="-50" w:rightChars="-24" w:hanging="480" w:hangingChars="200"/>
              <w:jc w:val="center"/>
              <w:rPr>
                <w:rFonts w:ascii="仿宋_GB2312" w:hAnsi="宋体" w:eastAsia="仿宋_GB2312"/>
                <w:sz w:val="24"/>
                <w:szCs w:val="24"/>
              </w:rPr>
            </w:pPr>
            <w:r>
              <w:rPr>
                <w:rFonts w:hint="eastAsia" w:ascii="仿宋_GB2312" w:hAnsi="宋体" w:eastAsia="仿宋_GB2312"/>
                <w:sz w:val="24"/>
                <w:szCs w:val="24"/>
              </w:rPr>
              <w:t>（8分）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rPr>
                <w:rFonts w:ascii="仿宋_GB2312" w:hAnsi="宋体" w:eastAsia="仿宋_GB2312"/>
                <w:sz w:val="24"/>
                <w:szCs w:val="24"/>
              </w:rPr>
            </w:pPr>
            <w:r>
              <w:rPr>
                <w:rFonts w:hint="eastAsia" w:ascii="仿宋_GB2312" w:hAnsi="宋体" w:eastAsia="仿宋_GB2312"/>
                <w:sz w:val="24"/>
                <w:szCs w:val="24"/>
              </w:rPr>
              <w:t>依据所投主材料质量、品牌、环保性能等，得1-8分。</w:t>
            </w:r>
          </w:p>
        </w:tc>
        <w:tc>
          <w:tcPr>
            <w:tcW w:w="802" w:type="dxa"/>
            <w:tcBorders>
              <w:top w:val="single" w:color="auto" w:sz="4" w:space="0"/>
              <w:left w:val="single" w:color="auto" w:sz="4" w:space="0"/>
              <w:bottom w:val="single" w:color="auto" w:sz="4" w:space="0"/>
            </w:tcBorders>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096" w:type="dxa"/>
            <w:tcBorders>
              <w:top w:val="single" w:color="auto" w:sz="4" w:space="0"/>
            </w:tcBorders>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施工方案</w:t>
            </w:r>
          </w:p>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（26分）</w:t>
            </w:r>
          </w:p>
        </w:tc>
        <w:tc>
          <w:tcPr>
            <w:tcW w:w="7047" w:type="dxa"/>
            <w:tcBorders>
              <w:top w:val="single" w:color="auto" w:sz="4" w:space="0"/>
            </w:tcBorders>
            <w:vAlign w:val="center"/>
          </w:tcPr>
          <w:p>
            <w:pPr>
              <w:ind w:left="480" w:hanging="480" w:hangingChars="200"/>
              <w:rPr>
                <w:rFonts w:hint="eastAsia" w:ascii="仿宋_GB2312" w:hAnsi="宋体" w:eastAsia="仿宋_GB2312"/>
                <w:sz w:val="24"/>
                <w:szCs w:val="24"/>
              </w:rPr>
            </w:pPr>
            <w:r>
              <w:rPr>
                <w:rFonts w:hint="eastAsia" w:ascii="仿宋_GB2312" w:hAnsi="宋体" w:eastAsia="仿宋_GB2312"/>
                <w:sz w:val="24"/>
                <w:szCs w:val="24"/>
              </w:rPr>
              <w:t>依据投标人施工组织设计及技术措施的完整性、合理性、先进性</w:t>
            </w:r>
          </w:p>
          <w:p>
            <w:pPr>
              <w:ind w:left="480" w:hanging="480" w:hangingChars="200"/>
              <w:rPr>
                <w:rFonts w:hint="eastAsia" w:ascii="仿宋_GB2312" w:hAnsi="宋体" w:eastAsia="仿宋_GB2312"/>
                <w:sz w:val="24"/>
                <w:szCs w:val="24"/>
              </w:rPr>
            </w:pPr>
            <w:r>
              <w:rPr>
                <w:rFonts w:hint="eastAsia" w:ascii="仿宋_GB2312" w:hAnsi="宋体" w:eastAsia="仿宋_GB2312"/>
                <w:sz w:val="24"/>
                <w:szCs w:val="24"/>
              </w:rPr>
              <w:t>及对本工程的针对性的强弱程度和技术措施的得力情况，酌情打</w:t>
            </w:r>
          </w:p>
          <w:p>
            <w:pPr>
              <w:ind w:left="480" w:hanging="480" w:hangingChars="200"/>
              <w:rPr>
                <w:rFonts w:ascii="仿宋_GB2312" w:hAnsi="宋体" w:eastAsia="仿宋_GB2312"/>
                <w:sz w:val="24"/>
                <w:szCs w:val="24"/>
              </w:rPr>
            </w:pPr>
            <w:r>
              <w:rPr>
                <w:rFonts w:hint="eastAsia" w:ascii="仿宋_GB2312" w:hAnsi="宋体" w:eastAsia="仿宋_GB2312"/>
                <w:sz w:val="24"/>
                <w:szCs w:val="24"/>
              </w:rPr>
              <w:t>分。优：20-26分、良11-20分、一般3-10分。</w:t>
            </w:r>
          </w:p>
        </w:tc>
        <w:tc>
          <w:tcPr>
            <w:tcW w:w="802" w:type="dxa"/>
            <w:tcBorders>
              <w:top w:val="single" w:color="auto" w:sz="4" w:space="0"/>
            </w:tcBorders>
            <w:vAlign w:val="center"/>
          </w:tcPr>
          <w:p>
            <w:pPr>
              <w:widowControl/>
              <w:adjustRightInd w:val="0"/>
              <w:snapToGrid w:val="0"/>
              <w:spacing w:line="400" w:lineRule="exact"/>
              <w:ind w:right="-50" w:rightChars="-24"/>
              <w:jc w:val="center"/>
              <w:rPr>
                <w:rFonts w:hint="eastAsia" w:ascii="仿宋_GB2312" w:hAnsi="仿宋" w:eastAsia="仿宋_GB2312"/>
                <w:b/>
                <w:sz w:val="24"/>
                <w:szCs w:val="24"/>
              </w:rPr>
            </w:pPr>
            <w:r>
              <w:rPr>
                <w:rFonts w:hint="eastAsia" w:ascii="仿宋_GB2312" w:hAnsi="仿宋" w:eastAsia="仿宋_GB2312"/>
                <w:b/>
                <w:sz w:val="24"/>
                <w:szCs w:val="24"/>
              </w:rPr>
              <w:t>26分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bCs/>
                <w:sz w:val="24"/>
                <w:szCs w:val="24"/>
              </w:rPr>
            </w:pPr>
            <w:r>
              <w:rPr>
                <w:rFonts w:hint="eastAsia" w:ascii="仿宋_GB2312" w:hAnsi="宋体" w:eastAsia="仿宋_GB2312"/>
                <w:sz w:val="24"/>
                <w:szCs w:val="24"/>
              </w:rPr>
              <w:t>工程质量保证措施</w:t>
            </w:r>
            <w:r>
              <w:rPr>
                <w:rFonts w:hint="eastAsia" w:ascii="仿宋_GB2312" w:hAnsi="宋体" w:eastAsia="仿宋_GB2312"/>
                <w:bCs/>
                <w:sz w:val="24"/>
                <w:szCs w:val="24"/>
              </w:rPr>
              <w:t>（5分）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依据投标人为确保工程质量目标，所采取的质量管理措施的科学性、可靠性、完备性、针对性和可实施性，酌情打分。优：4-5分、良2-3分，一般1-2分。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工程进度保证措施</w:t>
            </w:r>
          </w:p>
          <w:p>
            <w:pPr>
              <w:widowControl/>
              <w:adjustRightInd w:val="0"/>
              <w:snapToGrid w:val="0"/>
              <w:spacing w:line="400" w:lineRule="exact"/>
              <w:ind w:left="420" w:leftChars="200" w:right="-50" w:rightChars="-24" w:firstLine="120" w:firstLineChars="50"/>
              <w:jc w:val="center"/>
              <w:rPr>
                <w:rFonts w:hint="eastAsia" w:ascii="仿宋_GB2312" w:hAnsi="宋体" w:eastAsia="仿宋_GB2312"/>
                <w:sz w:val="24"/>
                <w:szCs w:val="24"/>
              </w:rPr>
            </w:pPr>
            <w:r>
              <w:rPr>
                <w:rFonts w:hint="eastAsia" w:ascii="仿宋_GB2312" w:hAnsi="宋体" w:eastAsia="仿宋_GB2312"/>
                <w:sz w:val="24"/>
                <w:szCs w:val="24"/>
              </w:rPr>
              <w:t>（5分）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依据投标人为确保本工程按时竣工，所采取的工程组织管理措施的科学性、可靠性、完备性、针对性和可实施性，酌情打分。优：4-5分、良2-3分，一般1-2分。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bCs/>
                <w:sz w:val="24"/>
                <w:szCs w:val="24"/>
              </w:rPr>
              <w:t>安全文明施工措施（5分）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根据投标人为确保本工程安全施工和文明施工，不影响正常医疗秩序，所采取的管理措施的科学性、可靠性、完备性、针对性和可实施性，酌情打分。优： 4-5 分，良:2-3 分，一般: 1-2 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bookmarkStart w:id="9" w:name="OLE_LINK31"/>
            <w:bookmarkStart w:id="10" w:name="OLE_LINK30"/>
            <w:r>
              <w:rPr>
                <w:rFonts w:hint="eastAsia" w:ascii="仿宋_GB2312" w:hAnsi="宋体" w:eastAsia="仿宋_GB2312"/>
                <w:sz w:val="24"/>
                <w:szCs w:val="24"/>
              </w:rPr>
              <w:t>优惠条件合理化建议（2分）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投标人对承建本工程的有利条件说明及有关优惠条件（0-1 分）、合理化建议（0-1 分）（价格因素除外）酌情打分。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2分</w:t>
            </w:r>
          </w:p>
        </w:tc>
      </w:tr>
      <w:bookmarkEnd w:id="9"/>
      <w:bookmarkEnd w:id="1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售后服务（3分）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依据投标人为确保本工程售后服务的可靠性、完备性、针对性和可实施性，得0-3分。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其他（3分）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根据以下内容进行比较评价：标书制作规范，内容完整，文字清晰，标书中对技术部分的描述准确，询标答疑过程对评委提出需澄清确认的问题答复完整、准确得 1-3 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合计</w:t>
            </w:r>
          </w:p>
        </w:tc>
        <w:tc>
          <w:tcPr>
            <w:tcW w:w="7047" w:type="dxa"/>
            <w:vAlign w:val="center"/>
          </w:tcPr>
          <w:p>
            <w:pPr>
              <w:spacing w:line="360" w:lineRule="exact"/>
              <w:rPr>
                <w:rFonts w:hint="eastAsia" w:ascii="仿宋_GB2312" w:hAnsi="宋体" w:eastAsia="仿宋_GB2312"/>
                <w:bCs/>
                <w:sz w:val="24"/>
                <w:szCs w:val="24"/>
              </w:rPr>
            </w:pP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100分</w:t>
            </w:r>
          </w:p>
        </w:tc>
      </w:tr>
    </w:tbl>
    <w:p>
      <w:pPr>
        <w:jc w:val="both"/>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（2018年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iti SC Light">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A2340C8"/>
    <w:rsid w:val="1CA74248"/>
    <w:rsid w:val="1ED12DC7"/>
    <w:rsid w:val="1F7B525B"/>
    <w:rsid w:val="27F36A5B"/>
    <w:rsid w:val="2A7C6390"/>
    <w:rsid w:val="2B592D42"/>
    <w:rsid w:val="2F65547F"/>
    <w:rsid w:val="30862769"/>
    <w:rsid w:val="30ED6026"/>
    <w:rsid w:val="3E294764"/>
    <w:rsid w:val="41795C12"/>
    <w:rsid w:val="434752D4"/>
    <w:rsid w:val="450F39F2"/>
    <w:rsid w:val="455627B7"/>
    <w:rsid w:val="473E600E"/>
    <w:rsid w:val="474655B0"/>
    <w:rsid w:val="489D396D"/>
    <w:rsid w:val="50901E9F"/>
    <w:rsid w:val="572E0F59"/>
    <w:rsid w:val="57C750E8"/>
    <w:rsid w:val="57F47E9D"/>
    <w:rsid w:val="598343A6"/>
    <w:rsid w:val="602F1439"/>
    <w:rsid w:val="670F0E44"/>
    <w:rsid w:val="67A369D6"/>
    <w:rsid w:val="683E490D"/>
    <w:rsid w:val="699F14B4"/>
    <w:rsid w:val="6A265765"/>
    <w:rsid w:val="6B060A2E"/>
    <w:rsid w:val="6B255A98"/>
    <w:rsid w:val="6B7C41CF"/>
    <w:rsid w:val="6C4760FC"/>
    <w:rsid w:val="6CA170BA"/>
    <w:rsid w:val="6D067411"/>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2</TotalTime>
  <ScaleCrop>false</ScaleCrop>
  <LinksUpToDate>false</LinksUpToDate>
  <CharactersWithSpaces>7298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2021-07-16T09:18:34Z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B17A530588414CEF9998CB308EC40D01</vt:lpwstr>
  </property>
</Properties>
</file>