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1"/>
          <w:szCs w:val="21"/>
          <w:lang w:val="en-US"/>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山东第一医科大学附属青岛眼科医院污泥处理项目竞争性磋商文件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sz w:val="28"/>
          <w:szCs w:val="28"/>
        </w:rPr>
      </w:pPr>
      <w:bookmarkStart w:id="0" w:name="OLE_LINK35"/>
      <w:bookmarkStart w:id="1" w:name="OLE_LINK36"/>
      <w:r>
        <w:rPr>
          <w:rFonts w:hint="eastAsia"/>
          <w:sz w:val="28"/>
          <w:szCs w:val="28"/>
        </w:rPr>
        <w:t>1、在中国境内注册、具有能够独立承担民事责任的企业，具有合法有效的营业执照；</w:t>
      </w:r>
      <w:r>
        <w:rPr>
          <w:rFonts w:hint="eastAsia"/>
          <w:color w:val="000000" w:themeColor="text1"/>
          <w:sz w:val="32"/>
          <w:szCs w:val="32"/>
          <w14:textFill>
            <w14:solidFill>
              <w14:schemeClr w14:val="tx1"/>
            </w14:solidFill>
          </w14:textFill>
        </w:rPr>
        <w:t>合法的资质证书</w:t>
      </w:r>
      <w:r>
        <w:rPr>
          <w:rFonts w:hint="eastAsia"/>
          <w:color w:val="000000" w:themeColor="text1"/>
          <w:sz w:val="32"/>
          <w:szCs w:val="32"/>
          <w:lang w:eastAsia="zh-CN"/>
          <w14:textFill>
            <w14:solidFill>
              <w14:schemeClr w14:val="tx1"/>
            </w14:solidFill>
          </w14:textFill>
        </w:rPr>
        <w:t>、产品生产许可证、</w:t>
      </w:r>
      <w:r>
        <w:rPr>
          <w:rFonts w:hint="eastAsia"/>
          <w:color w:val="000000" w:themeColor="text1"/>
          <w:sz w:val="32"/>
          <w:szCs w:val="32"/>
          <w14:textFill>
            <w14:solidFill>
              <w14:schemeClr w14:val="tx1"/>
            </w14:solidFill>
          </w14:textFill>
        </w:rPr>
        <w:t>国家颁发的检验报告</w:t>
      </w:r>
      <w:r>
        <w:rPr>
          <w:rFonts w:hint="eastAsia"/>
          <w:color w:val="000000" w:themeColor="text1"/>
          <w:sz w:val="32"/>
          <w:szCs w:val="32"/>
          <w:lang w:val="en-US" w:eastAsia="zh-CN"/>
          <w14:textFill>
            <w14:solidFill>
              <w14:schemeClr w14:val="tx1"/>
            </w14:solidFill>
          </w14:textFill>
        </w:rPr>
        <w:t>等</w:t>
      </w:r>
      <w:r>
        <w:rPr>
          <w:rFonts w:hint="eastAsia"/>
          <w:sz w:val="28"/>
          <w:szCs w:val="28"/>
        </w:rPr>
        <w:t>；</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w:t>
      </w:r>
      <w:bookmarkStart w:id="9" w:name="_GoBack"/>
      <w:bookmarkEnd w:id="9"/>
      <w:r>
        <w:rPr>
          <w:rFonts w:hint="eastAsia"/>
          <w:sz w:val="28"/>
          <w:szCs w:val="28"/>
        </w:rPr>
        <w:t>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2" w:firstLineChars="200"/>
        <w:rPr>
          <w:rFonts w:hint="eastAsia"/>
          <w:b/>
          <w:bCs/>
          <w:color w:val="auto"/>
          <w:sz w:val="28"/>
          <w:szCs w:val="28"/>
          <w:highlight w:val="none"/>
          <w:lang w:val="en-US" w:eastAsia="zh-CN"/>
        </w:rPr>
      </w:pPr>
      <w:r>
        <w:rPr>
          <w:rFonts w:hint="eastAsia"/>
          <w:b/>
          <w:bCs/>
          <w:color w:val="auto"/>
          <w:sz w:val="28"/>
          <w:szCs w:val="28"/>
          <w:highlight w:val="none"/>
        </w:rPr>
        <w:t xml:space="preserve">1.3.2 </w:t>
      </w:r>
      <w:r>
        <w:rPr>
          <w:rFonts w:hint="eastAsia"/>
          <w:b/>
          <w:bCs/>
          <w:color w:val="auto"/>
          <w:sz w:val="28"/>
          <w:szCs w:val="28"/>
          <w:highlight w:val="none"/>
          <w:lang w:val="en-US" w:eastAsia="zh-CN"/>
        </w:rPr>
        <w:t>分项明细报价（格式自拟）</w:t>
      </w:r>
    </w:p>
    <w:p>
      <w:pPr>
        <w:spacing w:line="360" w:lineRule="auto"/>
        <w:ind w:firstLine="560" w:firstLineChars="200"/>
        <w:rPr>
          <w:rFonts w:hint="eastAsia"/>
          <w:color w:val="000000"/>
          <w:sz w:val="28"/>
          <w:szCs w:val="28"/>
          <w:highlight w:val="none"/>
          <w:lang w:val="en-US" w:eastAsia="zh-CN"/>
        </w:rPr>
      </w:pPr>
      <w:r>
        <w:rPr>
          <w:rFonts w:hint="eastAsia"/>
          <w:color w:val="000000"/>
          <w:sz w:val="28"/>
          <w:szCs w:val="28"/>
          <w:highlight w:val="none"/>
          <w:lang w:val="en-US" w:eastAsia="zh-CN"/>
        </w:rPr>
        <w:t>报价范围包括：眼科医院污水处理系统内化粪池污泥、初沉污泥、硝化污泥、剩余污泥等的收集、干化、包装处理。</w:t>
      </w:r>
    </w:p>
    <w:p>
      <w:pPr>
        <w:ind w:firstLine="560" w:firstLineChars="200"/>
        <w:rPr>
          <w:rFonts w:hint="default"/>
          <w:color w:val="000000"/>
          <w:sz w:val="28"/>
          <w:szCs w:val="28"/>
          <w:highlight w:val="none"/>
          <w:lang w:val="en-US" w:eastAsia="zh-CN"/>
        </w:rPr>
      </w:pPr>
      <w:r>
        <w:rPr>
          <w:rFonts w:hint="eastAsia"/>
          <w:color w:val="000000"/>
          <w:sz w:val="28"/>
          <w:szCs w:val="28"/>
          <w:highlight w:val="none"/>
        </w:rPr>
        <w:t>报价内容包含</w:t>
      </w:r>
      <w:r>
        <w:rPr>
          <w:rFonts w:hint="eastAsia"/>
          <w:color w:val="000000"/>
          <w:sz w:val="28"/>
          <w:szCs w:val="28"/>
          <w:highlight w:val="none"/>
          <w:lang w:val="en-US" w:eastAsia="zh-CN"/>
        </w:rPr>
        <w:t>设备使用、人工费、药剂费、安全防护费、包装费及相关价格明细</w:t>
      </w:r>
      <w:r>
        <w:rPr>
          <w:rFonts w:hint="eastAsia"/>
          <w:color w:val="000000"/>
          <w:sz w:val="28"/>
          <w:szCs w:val="28"/>
          <w:highlight w:val="none"/>
        </w:rPr>
        <w:t>。结算时除甲方提出的变更外，单价一次性包死，不作调整。</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*1.4.2工期、付款方式等（不能低于磋商文件要求）；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17"/>
      <w:bookmarkStart w:id="3" w:name="OLE_LINK20"/>
      <w:bookmarkStart w:id="4" w:name="OLE_LINK21"/>
      <w:bookmarkStart w:id="5" w:name="OLE_LINK18"/>
      <w:bookmarkStart w:id="6" w:name="OLE_LINK16"/>
      <w:bookmarkStart w:id="7" w:name="OLE_LINK19"/>
      <w:bookmarkStart w:id="8" w:name="OLE_LINK15"/>
      <w:r>
        <w:rPr>
          <w:rFonts w:hint="eastAsia"/>
          <w:b/>
          <w:sz w:val="28"/>
          <w:szCs w:val="28"/>
        </w:rPr>
        <w:t>一、项目概况</w:t>
      </w:r>
    </w:p>
    <w:p>
      <w:pPr>
        <w:ind w:firstLine="560" w:firstLineChars="200"/>
        <w:rPr>
          <w:sz w:val="28"/>
          <w:szCs w:val="28"/>
        </w:rPr>
      </w:pPr>
      <w:r>
        <w:rPr>
          <w:rFonts w:hint="eastAsia"/>
          <w:color w:val="000000"/>
          <w:sz w:val="28"/>
          <w:szCs w:val="28"/>
          <w:highlight w:val="none"/>
          <w:lang w:val="en-US" w:eastAsia="zh-CN"/>
        </w:rPr>
        <w:t>1、对院内对污水处理系统内化粪池污泥、初沉污泥、硝化污泥、剩余污泥等的收集、干化、包装处理，并运到医疗垃圾房指定位置存放</w:t>
      </w:r>
      <w:r>
        <w:rPr>
          <w:rFonts w:hint="eastAsia"/>
          <w:sz w:val="28"/>
          <w:szCs w:val="28"/>
        </w:rPr>
        <w:t>。</w:t>
      </w:r>
    </w:p>
    <w:p>
      <w:pPr>
        <w:ind w:firstLine="560"/>
        <w:rPr>
          <w:rFonts w:hint="eastAsia"/>
          <w:sz w:val="28"/>
          <w:szCs w:val="28"/>
          <w:highlight w:val="none"/>
        </w:rPr>
      </w:pPr>
      <w:r>
        <w:rPr>
          <w:rFonts w:hint="eastAsia"/>
          <w:sz w:val="28"/>
          <w:szCs w:val="28"/>
          <w:highlight w:val="none"/>
        </w:rPr>
        <w:t>2、采购控制价：</w:t>
      </w:r>
      <w:r>
        <w:rPr>
          <w:rFonts w:hint="eastAsia"/>
          <w:sz w:val="28"/>
          <w:szCs w:val="28"/>
          <w:highlight w:val="none"/>
          <w:lang w:val="en-US" w:eastAsia="zh-CN"/>
        </w:rPr>
        <w:t>6</w:t>
      </w:r>
      <w:r>
        <w:rPr>
          <w:rFonts w:hint="eastAsia"/>
          <w:sz w:val="28"/>
          <w:szCs w:val="28"/>
          <w:highlight w:val="none"/>
        </w:rPr>
        <w:t>万元</w:t>
      </w:r>
    </w:p>
    <w:p>
      <w:pPr>
        <w:ind w:firstLine="560"/>
        <w:rPr>
          <w:rFonts w:hint="eastAsia"/>
          <w:sz w:val="28"/>
          <w:szCs w:val="28"/>
          <w:highlight w:val="yellow"/>
        </w:rPr>
      </w:pPr>
      <w:r>
        <w:rPr>
          <w:rFonts w:hint="eastAsia"/>
          <w:color w:val="000000"/>
          <w:sz w:val="28"/>
          <w:szCs w:val="28"/>
          <w:highlight w:val="none"/>
          <w:lang w:val="en-US" w:eastAsia="zh-CN"/>
        </w:rPr>
        <w:t>3、按照年度报价，年度污泥收集处理次数原则上为12次（每月一次）。</w:t>
      </w:r>
    </w:p>
    <w:p>
      <w:pPr>
        <w:ind w:firstLine="275" w:firstLineChars="98"/>
        <w:jc w:val="left"/>
        <w:rPr>
          <w:rFonts w:hint="eastAsia"/>
          <w:b/>
          <w:sz w:val="28"/>
          <w:szCs w:val="28"/>
        </w:rPr>
      </w:pPr>
      <w:r>
        <w:rPr>
          <w:rFonts w:hint="eastAsia"/>
          <w:b/>
          <w:sz w:val="28"/>
          <w:szCs w:val="28"/>
        </w:rPr>
        <w:t>二、技术要求</w:t>
      </w:r>
    </w:p>
    <w:p>
      <w:pPr>
        <w:ind w:firstLine="560" w:firstLineChars="200"/>
        <w:rPr>
          <w:rFonts w:hint="eastAsia" w:ascii="Times New Roman" w:hAnsi="Times New Roman" w:eastAsia="宋体" w:cs="Times New Roman"/>
          <w:color w:val="000000"/>
          <w:sz w:val="28"/>
          <w:szCs w:val="28"/>
          <w:highlight w:val="none"/>
        </w:rPr>
      </w:pPr>
      <w:r>
        <w:rPr>
          <w:rFonts w:hint="eastAsia"/>
          <w:color w:val="000000"/>
          <w:sz w:val="28"/>
          <w:szCs w:val="28"/>
          <w:highlight w:val="none"/>
        </w:rPr>
        <w:t>1、</w:t>
      </w:r>
      <w:r>
        <w:rPr>
          <w:rFonts w:hint="eastAsia"/>
          <w:color w:val="000000"/>
          <w:sz w:val="28"/>
          <w:szCs w:val="28"/>
          <w:highlight w:val="none"/>
          <w:lang w:eastAsia="zh-CN"/>
        </w:rPr>
        <w:t>污泥处理过程</w:t>
      </w:r>
      <w:r>
        <w:rPr>
          <w:rFonts w:hint="eastAsia"/>
          <w:color w:val="000000"/>
          <w:sz w:val="28"/>
          <w:szCs w:val="28"/>
          <w:highlight w:val="none"/>
        </w:rPr>
        <w:t>所用材料及配件必须符合国家质量验收标准和行业标准的规定，具有相应的质量证明文件和检测报告，确保</w:t>
      </w:r>
      <w:r>
        <w:rPr>
          <w:rFonts w:hint="eastAsia"/>
          <w:color w:val="000000"/>
          <w:sz w:val="28"/>
          <w:szCs w:val="28"/>
          <w:highlight w:val="none"/>
          <w:lang w:val="en-US" w:eastAsia="zh-CN"/>
        </w:rPr>
        <w:t>验收</w:t>
      </w:r>
      <w:r>
        <w:rPr>
          <w:rFonts w:hint="eastAsia"/>
          <w:color w:val="000000"/>
          <w:sz w:val="28"/>
          <w:szCs w:val="28"/>
          <w:highlight w:val="none"/>
        </w:rPr>
        <w:t>合格。</w:t>
      </w:r>
      <w:r>
        <w:rPr>
          <w:rFonts w:hint="eastAsia"/>
          <w:color w:val="000000"/>
          <w:sz w:val="28"/>
          <w:szCs w:val="28"/>
          <w:highlight w:val="none"/>
          <w:lang w:eastAsia="zh-CN"/>
        </w:rPr>
        <w:t>污泥处理</w:t>
      </w:r>
      <w:r>
        <w:rPr>
          <w:rFonts w:hint="eastAsia"/>
          <w:color w:val="000000"/>
          <w:sz w:val="28"/>
          <w:szCs w:val="28"/>
          <w:highlight w:val="none"/>
          <w:lang w:val="en-US" w:eastAsia="zh-CN"/>
        </w:rPr>
        <w:t>后的参数及包装要求</w:t>
      </w:r>
      <w:r>
        <w:rPr>
          <w:rFonts w:hint="eastAsia"/>
          <w:color w:val="000000"/>
          <w:sz w:val="28"/>
          <w:szCs w:val="28"/>
          <w:highlight w:val="none"/>
        </w:rPr>
        <w:t>经双方共同确认。</w:t>
      </w:r>
      <w:r>
        <w:rPr>
          <w:rFonts w:hint="eastAsia"/>
          <w:color w:val="000000"/>
          <w:sz w:val="28"/>
          <w:szCs w:val="28"/>
          <w:highlight w:val="none"/>
          <w:lang w:eastAsia="zh-CN"/>
        </w:rPr>
        <w:t>污泥</w:t>
      </w:r>
      <w:r>
        <w:rPr>
          <w:rFonts w:hint="eastAsia"/>
          <w:color w:val="000000"/>
          <w:sz w:val="28"/>
          <w:szCs w:val="28"/>
          <w:highlight w:val="none"/>
          <w:lang w:val="en-US" w:eastAsia="zh-CN"/>
        </w:rPr>
        <w:t>的</w:t>
      </w:r>
      <w:r>
        <w:rPr>
          <w:rFonts w:hint="eastAsia"/>
          <w:color w:val="000000"/>
          <w:sz w:val="28"/>
          <w:szCs w:val="28"/>
          <w:highlight w:val="none"/>
        </w:rPr>
        <w:t>运输</w:t>
      </w:r>
      <w:r>
        <w:rPr>
          <w:rFonts w:hint="eastAsia"/>
          <w:color w:val="000000"/>
          <w:sz w:val="28"/>
          <w:szCs w:val="28"/>
          <w:highlight w:val="none"/>
          <w:lang w:eastAsia="zh-CN"/>
        </w:rPr>
        <w:t>、</w:t>
      </w:r>
      <w:r>
        <w:rPr>
          <w:rFonts w:hint="eastAsia"/>
          <w:color w:val="000000"/>
          <w:sz w:val="28"/>
          <w:szCs w:val="28"/>
          <w:highlight w:val="none"/>
        </w:rPr>
        <w:t>装卸</w:t>
      </w:r>
      <w:r>
        <w:rPr>
          <w:rFonts w:hint="eastAsia"/>
          <w:color w:val="000000"/>
          <w:sz w:val="28"/>
          <w:szCs w:val="28"/>
          <w:highlight w:val="none"/>
          <w:lang w:val="en-US" w:eastAsia="zh-CN"/>
        </w:rPr>
        <w:t>及</w:t>
      </w:r>
      <w:r>
        <w:rPr>
          <w:rFonts w:hint="eastAsia" w:ascii="Times New Roman" w:hAnsi="Times New Roman" w:eastAsia="宋体" w:cs="Times New Roman"/>
          <w:color w:val="000000"/>
          <w:sz w:val="28"/>
          <w:szCs w:val="28"/>
          <w:highlight w:val="none"/>
          <w:lang w:val="en-US" w:eastAsia="zh-CN"/>
        </w:rPr>
        <w:t>处理</w:t>
      </w:r>
      <w:r>
        <w:rPr>
          <w:rFonts w:hint="eastAsia" w:ascii="Times New Roman" w:hAnsi="Times New Roman" w:eastAsia="宋体" w:cs="Times New Roman"/>
          <w:color w:val="000000"/>
          <w:sz w:val="28"/>
          <w:szCs w:val="28"/>
          <w:highlight w:val="none"/>
        </w:rPr>
        <w:t>由</w:t>
      </w:r>
      <w:r>
        <w:rPr>
          <w:rFonts w:hint="eastAsia" w:ascii="Times New Roman" w:hAnsi="Times New Roman" w:eastAsia="宋体" w:cs="Times New Roman"/>
          <w:color w:val="000000"/>
          <w:sz w:val="28"/>
          <w:szCs w:val="28"/>
          <w:highlight w:val="none"/>
          <w:lang w:eastAsia="zh-CN"/>
        </w:rPr>
        <w:t>中标人</w:t>
      </w:r>
      <w:r>
        <w:rPr>
          <w:rFonts w:hint="eastAsia" w:ascii="Times New Roman" w:hAnsi="Times New Roman" w:eastAsia="宋体" w:cs="Times New Roman"/>
          <w:color w:val="000000"/>
          <w:sz w:val="28"/>
          <w:szCs w:val="28"/>
          <w:highlight w:val="none"/>
          <w:lang w:val="en-US" w:eastAsia="zh-CN"/>
        </w:rPr>
        <w:t>负责，相关安全施工与环境保护责任由中标人承担</w:t>
      </w:r>
      <w:r>
        <w:rPr>
          <w:rFonts w:hint="eastAsia" w:ascii="Times New Roman" w:hAnsi="Times New Roman" w:eastAsia="宋体" w:cs="Times New Roman"/>
          <w:color w:val="000000"/>
          <w:sz w:val="28"/>
          <w:szCs w:val="28"/>
          <w:highlight w:val="none"/>
        </w:rPr>
        <w:t>。</w:t>
      </w:r>
    </w:p>
    <w:p>
      <w:pPr>
        <w:ind w:firstLine="560" w:firstLineChars="200"/>
        <w:rPr>
          <w:rFonts w:hint="eastAsia" w:ascii="Times New Roman" w:hAnsi="Times New Roman" w:eastAsia="宋体" w:cs="Times New Roman"/>
          <w:color w:val="000000"/>
          <w:sz w:val="28"/>
          <w:szCs w:val="28"/>
          <w:highlight w:val="none"/>
          <w:lang w:eastAsia="zh-CN"/>
        </w:rPr>
      </w:pPr>
      <w:r>
        <w:rPr>
          <w:rFonts w:hint="eastAsia" w:ascii="Times New Roman" w:hAnsi="Times New Roman" w:eastAsia="宋体" w:cs="Times New Roman"/>
          <w:color w:val="000000"/>
          <w:sz w:val="28"/>
          <w:szCs w:val="28"/>
          <w:highlight w:val="none"/>
        </w:rPr>
        <w:t>2、</w:t>
      </w:r>
      <w:r>
        <w:rPr>
          <w:rFonts w:hint="eastAsia" w:ascii="Times New Roman" w:hAnsi="Times New Roman" w:eastAsia="宋体" w:cs="Times New Roman"/>
          <w:color w:val="000000"/>
          <w:sz w:val="28"/>
          <w:szCs w:val="28"/>
          <w:highlight w:val="none"/>
          <w:lang w:eastAsia="zh-CN"/>
        </w:rPr>
        <w:t>污泥</w:t>
      </w:r>
      <w:r>
        <w:rPr>
          <w:rFonts w:hint="eastAsia" w:ascii="Times New Roman" w:hAnsi="Times New Roman" w:eastAsia="宋体" w:cs="Times New Roman"/>
          <w:color w:val="000000"/>
          <w:sz w:val="28"/>
          <w:szCs w:val="28"/>
          <w:highlight w:val="none"/>
          <w:lang w:val="en-US" w:eastAsia="zh-CN"/>
        </w:rPr>
        <w:t>处理后含水率</w:t>
      </w:r>
      <w:r>
        <w:rPr>
          <w:rFonts w:hint="eastAsia" w:ascii="Times New Roman" w:hAnsi="Times New Roman" w:eastAsia="宋体" w:cs="Times New Roman"/>
          <w:color w:val="000000"/>
          <w:sz w:val="28"/>
          <w:szCs w:val="28"/>
          <w:highlight w:val="none"/>
        </w:rPr>
        <w:t>80-83%</w:t>
      </w:r>
      <w:r>
        <w:rPr>
          <w:rFonts w:hint="eastAsia" w:ascii="Times New Roman" w:hAnsi="Times New Roman" w:eastAsia="宋体" w:cs="Times New Roman"/>
          <w:color w:val="000000"/>
          <w:sz w:val="28"/>
          <w:szCs w:val="28"/>
          <w:highlight w:val="none"/>
          <w:lang w:eastAsia="zh-CN"/>
        </w:rPr>
        <w:t>，</w:t>
      </w:r>
      <w:r>
        <w:rPr>
          <w:rFonts w:hint="eastAsia" w:ascii="Times New Roman" w:hAnsi="Times New Roman" w:eastAsia="宋体" w:cs="Times New Roman"/>
          <w:color w:val="000000"/>
          <w:sz w:val="28"/>
          <w:szCs w:val="28"/>
          <w:highlight w:val="none"/>
          <w:lang w:val="en-US" w:eastAsia="zh-CN"/>
        </w:rPr>
        <w:t>并经消毒处理</w:t>
      </w:r>
      <w:r>
        <w:rPr>
          <w:rFonts w:hint="eastAsia" w:ascii="Times New Roman" w:hAnsi="Times New Roman" w:eastAsia="宋体" w:cs="Times New Roman"/>
          <w:color w:val="000000"/>
          <w:sz w:val="28"/>
          <w:szCs w:val="28"/>
          <w:highlight w:val="none"/>
          <w:lang w:eastAsia="zh-CN"/>
        </w:rPr>
        <w:t>，</w:t>
      </w:r>
      <w:r>
        <w:rPr>
          <w:rFonts w:hint="eastAsia" w:ascii="Times New Roman" w:hAnsi="Times New Roman" w:eastAsia="宋体" w:cs="Times New Roman"/>
          <w:color w:val="000000"/>
          <w:sz w:val="28"/>
          <w:szCs w:val="28"/>
          <w:highlight w:val="none"/>
        </w:rPr>
        <w:t>清</w:t>
      </w:r>
      <w:r>
        <w:rPr>
          <w:rFonts w:hint="eastAsia" w:ascii="Times New Roman" w:hAnsi="Times New Roman" w:eastAsia="宋体" w:cs="Times New Roman"/>
          <w:color w:val="000000"/>
          <w:sz w:val="28"/>
          <w:szCs w:val="28"/>
          <w:highlight w:val="none"/>
          <w:lang w:val="en-US" w:eastAsia="zh-CN"/>
        </w:rPr>
        <w:t>理</w:t>
      </w:r>
      <w:r>
        <w:rPr>
          <w:rFonts w:hint="eastAsia" w:ascii="Times New Roman" w:hAnsi="Times New Roman" w:eastAsia="宋体" w:cs="Times New Roman"/>
          <w:color w:val="000000"/>
          <w:sz w:val="28"/>
          <w:szCs w:val="28"/>
          <w:highlight w:val="none"/>
        </w:rPr>
        <w:t>前达到下表要求</w:t>
      </w:r>
      <w:r>
        <w:rPr>
          <w:rFonts w:hint="eastAsia" w:ascii="Times New Roman" w:hAnsi="Times New Roman" w:eastAsia="宋体" w:cs="Times New Roman"/>
          <w:color w:val="000000"/>
          <w:sz w:val="28"/>
          <w:szCs w:val="28"/>
          <w:highlight w:val="none"/>
          <w:lang w:eastAsia="zh-CN"/>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1394"/>
        <w:gridCol w:w="1186"/>
        <w:gridCol w:w="1045"/>
        <w:gridCol w:w="1045"/>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noWrap w:val="0"/>
            <w:vAlign w:val="center"/>
          </w:tcPr>
          <w:p>
            <w:pPr>
              <w:jc w:val="center"/>
              <w:rPr>
                <w:rFonts w:hint="eastAsia"/>
                <w:sz w:val="20"/>
                <w:szCs w:val="22"/>
                <w:vertAlign w:val="baseline"/>
              </w:rPr>
            </w:pPr>
            <w:r>
              <w:rPr>
                <w:rFonts w:hint="eastAsia"/>
                <w:sz w:val="20"/>
                <w:szCs w:val="22"/>
              </w:rPr>
              <w:t>医疗机构类别</w:t>
            </w:r>
          </w:p>
        </w:tc>
        <w:tc>
          <w:tcPr>
            <w:tcW w:w="1536" w:type="dxa"/>
            <w:noWrap w:val="0"/>
            <w:vAlign w:val="center"/>
          </w:tcPr>
          <w:p>
            <w:pPr>
              <w:jc w:val="center"/>
              <w:rPr>
                <w:rFonts w:hint="eastAsia"/>
                <w:sz w:val="20"/>
                <w:szCs w:val="22"/>
              </w:rPr>
            </w:pPr>
            <w:r>
              <w:rPr>
                <w:rFonts w:hint="eastAsia"/>
                <w:sz w:val="20"/>
                <w:szCs w:val="22"/>
                <w:lang w:val="en-US" w:eastAsia="zh-CN"/>
              </w:rPr>
              <w:t>粪</w:t>
            </w:r>
            <w:r>
              <w:rPr>
                <w:rFonts w:hint="eastAsia"/>
                <w:sz w:val="20"/>
                <w:szCs w:val="22"/>
              </w:rPr>
              <w:t>大肠菌群数</w:t>
            </w:r>
          </w:p>
          <w:p>
            <w:pPr>
              <w:jc w:val="center"/>
              <w:rPr>
                <w:rFonts w:hint="eastAsia"/>
                <w:sz w:val="20"/>
                <w:szCs w:val="22"/>
                <w:vertAlign w:val="baseline"/>
              </w:rPr>
            </w:pPr>
            <w:r>
              <w:rPr>
                <w:rFonts w:hint="eastAsia"/>
                <w:sz w:val="20"/>
                <w:szCs w:val="22"/>
              </w:rPr>
              <w:t>MPN/g</w:t>
            </w:r>
          </w:p>
        </w:tc>
        <w:tc>
          <w:tcPr>
            <w:tcW w:w="1320" w:type="dxa"/>
            <w:noWrap w:val="0"/>
            <w:vAlign w:val="center"/>
          </w:tcPr>
          <w:p>
            <w:pPr>
              <w:jc w:val="center"/>
              <w:rPr>
                <w:rFonts w:hint="eastAsia"/>
                <w:sz w:val="20"/>
                <w:szCs w:val="22"/>
                <w:vertAlign w:val="baseline"/>
              </w:rPr>
            </w:pPr>
            <w:r>
              <w:rPr>
                <w:rFonts w:hint="eastAsia"/>
                <w:sz w:val="20"/>
                <w:szCs w:val="22"/>
              </w:rPr>
              <w:t>肠道致病菌</w:t>
            </w:r>
          </w:p>
        </w:tc>
        <w:tc>
          <w:tcPr>
            <w:tcW w:w="1146" w:type="dxa"/>
            <w:noWrap w:val="0"/>
            <w:vAlign w:val="center"/>
          </w:tcPr>
          <w:p>
            <w:pPr>
              <w:jc w:val="center"/>
              <w:rPr>
                <w:rFonts w:hint="eastAsia"/>
                <w:sz w:val="20"/>
                <w:szCs w:val="22"/>
                <w:vertAlign w:val="baseline"/>
              </w:rPr>
            </w:pPr>
            <w:r>
              <w:rPr>
                <w:rFonts w:hint="eastAsia"/>
                <w:sz w:val="20"/>
                <w:szCs w:val="22"/>
              </w:rPr>
              <w:t>肠道病毒</w:t>
            </w:r>
          </w:p>
        </w:tc>
        <w:tc>
          <w:tcPr>
            <w:tcW w:w="1146" w:type="dxa"/>
            <w:noWrap w:val="0"/>
            <w:vAlign w:val="center"/>
          </w:tcPr>
          <w:p>
            <w:pPr>
              <w:jc w:val="center"/>
              <w:rPr>
                <w:rFonts w:hint="eastAsia"/>
                <w:sz w:val="20"/>
                <w:szCs w:val="22"/>
                <w:vertAlign w:val="baseline"/>
              </w:rPr>
            </w:pPr>
            <w:r>
              <w:rPr>
                <w:rFonts w:hint="eastAsia"/>
                <w:sz w:val="20"/>
                <w:szCs w:val="22"/>
              </w:rPr>
              <w:t>结核杆菌</w:t>
            </w:r>
          </w:p>
        </w:tc>
        <w:tc>
          <w:tcPr>
            <w:tcW w:w="1572" w:type="dxa"/>
            <w:noWrap w:val="0"/>
            <w:vAlign w:val="center"/>
          </w:tcPr>
          <w:p>
            <w:pPr>
              <w:jc w:val="center"/>
              <w:rPr>
                <w:rFonts w:hint="eastAsia"/>
                <w:sz w:val="20"/>
                <w:szCs w:val="22"/>
              </w:rPr>
            </w:pPr>
            <w:r>
              <w:rPr>
                <w:rFonts w:hint="eastAsia"/>
                <w:sz w:val="20"/>
                <w:szCs w:val="22"/>
                <w:lang w:val="en-US" w:eastAsia="zh-CN"/>
              </w:rPr>
              <w:t>蛔</w:t>
            </w:r>
            <w:r>
              <w:rPr>
                <w:rFonts w:hint="eastAsia"/>
                <w:sz w:val="20"/>
                <w:szCs w:val="22"/>
              </w:rPr>
              <w:t>虫卵死亡率</w:t>
            </w:r>
          </w:p>
          <w:p>
            <w:pPr>
              <w:jc w:val="center"/>
              <w:rPr>
                <w:rFonts w:hint="eastAsia" w:eastAsia="宋体"/>
                <w:sz w:val="20"/>
                <w:szCs w:val="22"/>
                <w:vertAlign w:val="baseline"/>
                <w:lang w:val="en-US" w:eastAsia="zh-CN"/>
              </w:rPr>
            </w:pPr>
            <w:r>
              <w:rPr>
                <w:rFonts w:hint="eastAsia"/>
                <w:sz w:val="20"/>
                <w:szCs w:val="2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1" w:type="dxa"/>
            <w:noWrap w:val="0"/>
            <w:vAlign w:val="center"/>
          </w:tcPr>
          <w:p>
            <w:pPr>
              <w:jc w:val="center"/>
              <w:rPr>
                <w:rFonts w:hint="eastAsia"/>
                <w:sz w:val="20"/>
                <w:szCs w:val="22"/>
                <w:vertAlign w:val="baseline"/>
              </w:rPr>
            </w:pPr>
            <w:r>
              <w:rPr>
                <w:rFonts w:hint="eastAsia"/>
                <w:sz w:val="20"/>
                <w:szCs w:val="22"/>
              </w:rPr>
              <w:t>综合医疗机构和其他医疗机构</w:t>
            </w:r>
          </w:p>
        </w:tc>
        <w:tc>
          <w:tcPr>
            <w:tcW w:w="1536" w:type="dxa"/>
            <w:noWrap w:val="0"/>
            <w:vAlign w:val="center"/>
          </w:tcPr>
          <w:p>
            <w:pPr>
              <w:jc w:val="center"/>
              <w:rPr>
                <w:rFonts w:hint="eastAsia"/>
                <w:sz w:val="20"/>
                <w:szCs w:val="22"/>
                <w:vertAlign w:val="baseline"/>
              </w:rPr>
            </w:pPr>
            <w:r>
              <w:rPr>
                <w:rFonts w:hint="eastAsia"/>
                <w:sz w:val="20"/>
                <w:szCs w:val="22"/>
              </w:rPr>
              <w:t>≤100</w:t>
            </w:r>
          </w:p>
        </w:tc>
        <w:tc>
          <w:tcPr>
            <w:tcW w:w="1320"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w:t>
            </w:r>
          </w:p>
        </w:tc>
        <w:tc>
          <w:tcPr>
            <w:tcW w:w="1146"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w:t>
            </w:r>
          </w:p>
        </w:tc>
        <w:tc>
          <w:tcPr>
            <w:tcW w:w="1146" w:type="dxa"/>
            <w:noWrap w:val="0"/>
            <w:vAlign w:val="center"/>
          </w:tcPr>
          <w:p>
            <w:pPr>
              <w:jc w:val="center"/>
              <w:rPr>
                <w:rFonts w:hint="eastAsia" w:eastAsia="宋体"/>
                <w:sz w:val="20"/>
                <w:szCs w:val="22"/>
                <w:vertAlign w:val="baseline"/>
                <w:lang w:eastAsia="zh-CN"/>
              </w:rPr>
            </w:pPr>
            <w:r>
              <w:rPr>
                <w:rFonts w:hint="eastAsia"/>
                <w:sz w:val="20"/>
                <w:szCs w:val="22"/>
                <w:vertAlign w:val="baseline"/>
                <w:lang w:eastAsia="zh-CN"/>
              </w:rPr>
              <w:t>——</w:t>
            </w:r>
          </w:p>
        </w:tc>
        <w:tc>
          <w:tcPr>
            <w:tcW w:w="1572" w:type="dxa"/>
            <w:noWrap w:val="0"/>
            <w:vAlign w:val="center"/>
          </w:tcPr>
          <w:p>
            <w:pPr>
              <w:jc w:val="center"/>
              <w:rPr>
                <w:rFonts w:hint="eastAsia"/>
                <w:sz w:val="20"/>
                <w:szCs w:val="22"/>
                <w:vertAlign w:val="baseline"/>
              </w:rPr>
            </w:pPr>
            <w:r>
              <w:rPr>
                <w:rFonts w:hint="eastAsia"/>
                <w:sz w:val="20"/>
                <w:szCs w:val="22"/>
              </w:rPr>
              <w:t>&gt;95</w:t>
            </w:r>
          </w:p>
        </w:tc>
      </w:tr>
    </w:tbl>
    <w:p>
      <w:pPr>
        <w:spacing w:line="560" w:lineRule="exact"/>
        <w:ind w:firstLine="560" w:firstLineChars="200"/>
        <w:rPr>
          <w:rFonts w:hint="eastAsia"/>
          <w:color w:val="000000"/>
          <w:sz w:val="28"/>
          <w:szCs w:val="28"/>
          <w:highlight w:val="none"/>
        </w:rPr>
      </w:pPr>
      <w:r>
        <w:rPr>
          <w:rFonts w:hint="eastAsia"/>
          <w:color w:val="000000"/>
          <w:sz w:val="28"/>
          <w:szCs w:val="28"/>
          <w:highlight w:val="none"/>
        </w:rPr>
        <w:t>3、</w:t>
      </w:r>
      <w:r>
        <w:rPr>
          <w:rFonts w:hint="eastAsia"/>
          <w:color w:val="000000"/>
          <w:sz w:val="28"/>
          <w:szCs w:val="28"/>
          <w:highlight w:val="none"/>
          <w:lang w:eastAsia="zh-CN"/>
        </w:rPr>
        <w:t>污泥处理</w:t>
      </w:r>
      <w:r>
        <w:rPr>
          <w:rFonts w:hint="eastAsia"/>
          <w:color w:val="000000"/>
          <w:sz w:val="28"/>
          <w:szCs w:val="28"/>
          <w:highlight w:val="none"/>
          <w:lang w:val="en-US" w:eastAsia="zh-CN"/>
        </w:rPr>
        <w:t>后</w:t>
      </w:r>
      <w:r>
        <w:rPr>
          <w:rFonts w:hint="eastAsia"/>
          <w:color w:val="000000"/>
          <w:sz w:val="28"/>
          <w:szCs w:val="28"/>
          <w:highlight w:val="none"/>
        </w:rPr>
        <w:t>必须由</w:t>
      </w:r>
      <w:r>
        <w:rPr>
          <w:rFonts w:hint="eastAsia"/>
          <w:color w:val="000000"/>
          <w:sz w:val="28"/>
          <w:szCs w:val="28"/>
          <w:highlight w:val="none"/>
          <w:lang w:eastAsia="zh-CN"/>
        </w:rPr>
        <w:t>发标人</w:t>
      </w:r>
      <w:r>
        <w:rPr>
          <w:rFonts w:hint="eastAsia"/>
          <w:color w:val="000000"/>
          <w:sz w:val="28"/>
          <w:szCs w:val="28"/>
          <w:highlight w:val="none"/>
        </w:rPr>
        <w:t>代表进行验收，合格后方能进行</w:t>
      </w:r>
      <w:r>
        <w:rPr>
          <w:rFonts w:hint="eastAsia"/>
          <w:color w:val="000000"/>
          <w:sz w:val="28"/>
          <w:szCs w:val="28"/>
          <w:highlight w:val="none"/>
          <w:lang w:val="en-US" w:eastAsia="zh-CN"/>
        </w:rPr>
        <w:t>封装</w:t>
      </w:r>
      <w:r>
        <w:rPr>
          <w:rFonts w:hint="eastAsia"/>
          <w:color w:val="000000"/>
          <w:sz w:val="28"/>
          <w:szCs w:val="28"/>
          <w:highlight w:val="none"/>
        </w:rPr>
        <w:t>，</w:t>
      </w:r>
      <w:r>
        <w:rPr>
          <w:rFonts w:hint="eastAsia"/>
          <w:color w:val="000000"/>
          <w:sz w:val="28"/>
          <w:szCs w:val="28"/>
          <w:highlight w:val="none"/>
          <w:lang w:val="en-US" w:eastAsia="zh-CN"/>
        </w:rPr>
        <w:t>封装方式</w:t>
      </w:r>
      <w:r>
        <w:rPr>
          <w:rFonts w:hint="eastAsia"/>
          <w:color w:val="000000"/>
          <w:sz w:val="28"/>
          <w:szCs w:val="28"/>
          <w:highlight w:val="none"/>
        </w:rPr>
        <w:t>、允许</w:t>
      </w:r>
      <w:r>
        <w:rPr>
          <w:rFonts w:hint="eastAsia"/>
          <w:color w:val="000000"/>
          <w:sz w:val="28"/>
          <w:szCs w:val="28"/>
          <w:highlight w:val="none"/>
          <w:lang w:val="en-US" w:eastAsia="zh-CN"/>
        </w:rPr>
        <w:t>含水率等</w:t>
      </w:r>
      <w:r>
        <w:rPr>
          <w:rFonts w:hint="eastAsia"/>
          <w:color w:val="000000"/>
          <w:sz w:val="28"/>
          <w:szCs w:val="28"/>
          <w:highlight w:val="none"/>
        </w:rPr>
        <w:t>必须符合质量验收规范规定。</w:t>
      </w:r>
    </w:p>
    <w:p>
      <w:pPr>
        <w:ind w:firstLine="560" w:firstLineChars="200"/>
        <w:rPr>
          <w:rFonts w:hint="eastAsia"/>
          <w:color w:val="000000"/>
          <w:sz w:val="28"/>
          <w:szCs w:val="28"/>
          <w:highlight w:val="none"/>
        </w:rPr>
      </w:pPr>
      <w:r>
        <w:rPr>
          <w:rFonts w:hint="eastAsia"/>
          <w:color w:val="000000"/>
          <w:sz w:val="28"/>
          <w:szCs w:val="28"/>
          <w:highlight w:val="none"/>
        </w:rPr>
        <w:t>4、</w:t>
      </w:r>
      <w:r>
        <w:rPr>
          <w:rFonts w:hint="eastAsia"/>
          <w:color w:val="000000"/>
          <w:sz w:val="28"/>
          <w:szCs w:val="28"/>
          <w:highlight w:val="none"/>
          <w:lang w:val="en-US" w:eastAsia="zh-CN"/>
        </w:rPr>
        <w:t>污泥处理</w:t>
      </w:r>
      <w:r>
        <w:rPr>
          <w:rFonts w:hint="eastAsia"/>
          <w:color w:val="000000"/>
          <w:sz w:val="28"/>
          <w:szCs w:val="28"/>
          <w:highlight w:val="none"/>
        </w:rPr>
        <w:t>完成后由</w:t>
      </w:r>
      <w:r>
        <w:rPr>
          <w:rFonts w:hint="eastAsia"/>
          <w:color w:val="000000"/>
          <w:sz w:val="28"/>
          <w:szCs w:val="28"/>
          <w:highlight w:val="none"/>
          <w:lang w:eastAsia="zh-CN"/>
        </w:rPr>
        <w:t>发标人</w:t>
      </w:r>
      <w:r>
        <w:rPr>
          <w:rFonts w:hint="eastAsia"/>
          <w:color w:val="000000"/>
          <w:sz w:val="28"/>
          <w:szCs w:val="28"/>
          <w:highlight w:val="none"/>
        </w:rPr>
        <w:t>、</w:t>
      </w:r>
      <w:r>
        <w:rPr>
          <w:rFonts w:hint="eastAsia"/>
          <w:color w:val="000000"/>
          <w:sz w:val="28"/>
          <w:szCs w:val="28"/>
          <w:highlight w:val="none"/>
          <w:lang w:eastAsia="zh-CN"/>
        </w:rPr>
        <w:t>中标人</w:t>
      </w:r>
      <w:r>
        <w:rPr>
          <w:rFonts w:hint="eastAsia"/>
          <w:color w:val="000000"/>
          <w:sz w:val="28"/>
          <w:szCs w:val="28"/>
          <w:highlight w:val="none"/>
        </w:rPr>
        <w:t>双方依据相关国家、行业及企业标准进行</w:t>
      </w:r>
      <w:r>
        <w:rPr>
          <w:rFonts w:hint="eastAsia"/>
          <w:color w:val="000000"/>
          <w:sz w:val="28"/>
          <w:szCs w:val="28"/>
          <w:highlight w:val="none"/>
          <w:lang w:val="en-US" w:eastAsia="zh-CN"/>
        </w:rPr>
        <w:t>处置</w:t>
      </w:r>
      <w:r>
        <w:rPr>
          <w:rFonts w:hint="eastAsia"/>
          <w:color w:val="000000"/>
          <w:sz w:val="28"/>
          <w:szCs w:val="28"/>
          <w:highlight w:val="none"/>
        </w:rPr>
        <w:t>。</w:t>
      </w:r>
    </w:p>
    <w:p>
      <w:pPr>
        <w:ind w:firstLine="560" w:firstLineChars="200"/>
        <w:rPr>
          <w:rFonts w:hint="default" w:eastAsia="宋体"/>
          <w:color w:val="000000"/>
          <w:sz w:val="28"/>
          <w:szCs w:val="28"/>
          <w:highlight w:val="none"/>
          <w:lang w:val="en-US" w:eastAsia="zh-CN"/>
        </w:rPr>
      </w:pPr>
      <w:r>
        <w:rPr>
          <w:rFonts w:hint="eastAsia"/>
          <w:color w:val="000000"/>
          <w:sz w:val="28"/>
          <w:szCs w:val="28"/>
          <w:highlight w:val="none"/>
          <w:lang w:val="en-US" w:eastAsia="zh-CN"/>
        </w:rPr>
        <w:t>5、污泥处理过程中产生的废水排入污水系统化粪池中，要保证后期污水处理的COD、氨氮等参数不会因废水排入影响达标。</w:t>
      </w:r>
    </w:p>
    <w:p>
      <w:pPr>
        <w:ind w:firstLine="413" w:firstLineChars="147"/>
        <w:jc w:val="left"/>
        <w:rPr>
          <w:rFonts w:hint="eastAsia"/>
          <w:b/>
          <w:sz w:val="28"/>
          <w:szCs w:val="28"/>
        </w:rPr>
      </w:pPr>
      <w:r>
        <w:rPr>
          <w:rFonts w:hint="eastAsia"/>
          <w:b/>
          <w:sz w:val="28"/>
          <w:szCs w:val="28"/>
        </w:rPr>
        <w:t>三、其他要求：</w:t>
      </w:r>
    </w:p>
    <w:p>
      <w:pPr>
        <w:ind w:firstLine="411" w:firstLineChars="147"/>
        <w:jc w:val="left"/>
        <w:rPr>
          <w:rFonts w:hint="eastAsia"/>
          <w:b w:val="0"/>
          <w:bCs/>
          <w:sz w:val="28"/>
          <w:szCs w:val="28"/>
        </w:rPr>
      </w:pPr>
      <w:r>
        <w:rPr>
          <w:rFonts w:hint="eastAsia"/>
          <w:b w:val="0"/>
          <w:bCs/>
          <w:sz w:val="28"/>
          <w:szCs w:val="28"/>
        </w:rPr>
        <w:t>1、中标人对发标人合理的指令应积极响应、服从。按照施工规范作好安全管理及现场防护，杜绝伤亡事故的发生，确保安全施工。</w:t>
      </w:r>
    </w:p>
    <w:p>
      <w:pPr>
        <w:ind w:firstLine="411" w:firstLineChars="147"/>
        <w:jc w:val="left"/>
        <w:rPr>
          <w:rFonts w:hint="eastAsia"/>
          <w:b w:val="0"/>
          <w:bCs/>
          <w:sz w:val="28"/>
          <w:szCs w:val="28"/>
        </w:rPr>
      </w:pPr>
      <w:r>
        <w:rPr>
          <w:rFonts w:hint="eastAsia"/>
          <w:b w:val="0"/>
          <w:bCs/>
          <w:sz w:val="28"/>
          <w:szCs w:val="28"/>
        </w:rPr>
        <w:t>2、中标人要保证污泥池清理干净，化粪池格栅不堵塞。</w:t>
      </w:r>
    </w:p>
    <w:p>
      <w:pPr>
        <w:ind w:firstLine="413" w:firstLineChars="147"/>
        <w:jc w:val="left"/>
        <w:rPr>
          <w:rFonts w:hint="eastAsia"/>
          <w:b/>
          <w:bCs w:val="0"/>
          <w:sz w:val="28"/>
          <w:szCs w:val="28"/>
        </w:rPr>
      </w:pPr>
      <w:r>
        <w:rPr>
          <w:rFonts w:hint="eastAsia"/>
          <w:b/>
          <w:bCs w:val="0"/>
          <w:sz w:val="28"/>
          <w:szCs w:val="28"/>
        </w:rPr>
        <w:t>四、违约责任</w:t>
      </w:r>
    </w:p>
    <w:p>
      <w:pPr>
        <w:ind w:firstLine="411" w:firstLineChars="147"/>
        <w:jc w:val="left"/>
        <w:rPr>
          <w:rFonts w:hint="eastAsia"/>
          <w:b w:val="0"/>
          <w:bCs/>
          <w:sz w:val="28"/>
          <w:szCs w:val="28"/>
        </w:rPr>
      </w:pPr>
      <w:r>
        <w:rPr>
          <w:rFonts w:hint="eastAsia"/>
          <w:b w:val="0"/>
          <w:bCs/>
          <w:sz w:val="28"/>
          <w:szCs w:val="28"/>
        </w:rPr>
        <w:t>1、中标人生产的污泥处理必须达到验收条件，如出现质量不合格导致验收不合格，发标人可拒付款项。</w:t>
      </w:r>
    </w:p>
    <w:p>
      <w:pPr>
        <w:ind w:firstLine="411" w:firstLineChars="147"/>
        <w:jc w:val="left"/>
        <w:rPr>
          <w:rFonts w:hint="eastAsia"/>
          <w:b w:val="0"/>
          <w:bCs/>
          <w:sz w:val="28"/>
          <w:szCs w:val="28"/>
        </w:rPr>
      </w:pPr>
      <w:r>
        <w:rPr>
          <w:rFonts w:hint="eastAsia"/>
          <w:b w:val="0"/>
          <w:bCs/>
          <w:sz w:val="28"/>
          <w:szCs w:val="28"/>
        </w:rPr>
        <w:t>2、中标人应在合同签订并收到预付款后及时安排清理，接到发标人通知后（或者直接约定合同条款时限），必须按期进行清理，因中标人的原因导致的污泥处理不及时产生的一切后果，由中标人负全部责任</w:t>
      </w:r>
    </w:p>
    <w:p>
      <w:pPr>
        <w:ind w:firstLine="411" w:firstLineChars="147"/>
        <w:jc w:val="left"/>
        <w:rPr>
          <w:rFonts w:hint="eastAsia"/>
          <w:b w:val="0"/>
          <w:bCs/>
          <w:sz w:val="28"/>
          <w:szCs w:val="28"/>
        </w:rPr>
      </w:pPr>
      <w:r>
        <w:rPr>
          <w:rFonts w:hint="eastAsia"/>
          <w:b w:val="0"/>
          <w:bCs/>
          <w:sz w:val="28"/>
          <w:szCs w:val="28"/>
        </w:rPr>
        <w:t>3、中标人未按本合同约定的频次进行清理，每违约一次，按合同总价款的10％支付违约金。违约超过3次，甲方有权要求解除合同，并要求乙方支付合同总价款的30％的违约金。</w:t>
      </w:r>
    </w:p>
    <w:p>
      <w:pPr>
        <w:ind w:firstLine="413" w:firstLineChars="147"/>
        <w:jc w:val="left"/>
        <w:rPr>
          <w:b/>
          <w:bCs w:val="0"/>
          <w:sz w:val="28"/>
          <w:szCs w:val="28"/>
        </w:rPr>
      </w:pPr>
      <w:r>
        <w:rPr>
          <w:rFonts w:hint="eastAsia"/>
          <w:b/>
          <w:bCs w:val="0"/>
          <w:sz w:val="28"/>
          <w:szCs w:val="28"/>
        </w:rPr>
        <w:t>五、其他</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highlight w:val="none"/>
        </w:rPr>
      </w:pPr>
      <w:r>
        <w:rPr>
          <w:rFonts w:hint="eastAsia"/>
          <w:sz w:val="28"/>
          <w:szCs w:val="28"/>
          <w:highlight w:val="none"/>
        </w:rPr>
        <w:t>1、付款方式：</w:t>
      </w:r>
      <w:r>
        <w:rPr>
          <w:rFonts w:hint="eastAsia"/>
          <w:color w:val="000000"/>
          <w:sz w:val="28"/>
          <w:szCs w:val="28"/>
          <w:highlight w:val="none"/>
        </w:rPr>
        <w:t>合同签订</w:t>
      </w:r>
      <w:r>
        <w:rPr>
          <w:rFonts w:hint="eastAsia"/>
          <w:color w:val="000000"/>
          <w:sz w:val="28"/>
          <w:szCs w:val="28"/>
          <w:highlight w:val="none"/>
          <w:lang w:eastAsia="zh-CN"/>
        </w:rPr>
        <w:t>发标人</w:t>
      </w:r>
      <w:r>
        <w:rPr>
          <w:rFonts w:hint="eastAsia"/>
          <w:color w:val="000000"/>
          <w:sz w:val="28"/>
          <w:szCs w:val="28"/>
          <w:highlight w:val="none"/>
        </w:rPr>
        <w:t>收到</w:t>
      </w:r>
      <w:r>
        <w:rPr>
          <w:rFonts w:hint="eastAsia"/>
          <w:color w:val="000000"/>
          <w:sz w:val="28"/>
          <w:szCs w:val="28"/>
          <w:highlight w:val="none"/>
          <w:lang w:eastAsia="zh-CN"/>
        </w:rPr>
        <w:t>中标人</w:t>
      </w:r>
      <w:r>
        <w:rPr>
          <w:rFonts w:hint="eastAsia"/>
          <w:color w:val="000000"/>
          <w:sz w:val="28"/>
          <w:szCs w:val="28"/>
          <w:highlight w:val="none"/>
        </w:rPr>
        <w:t>开具的符合要求的增值税专用发票后，预付总维保款的50%，剩下的50%在合同期满，</w:t>
      </w:r>
      <w:r>
        <w:rPr>
          <w:rFonts w:hint="eastAsia"/>
          <w:color w:val="000000"/>
          <w:sz w:val="28"/>
          <w:szCs w:val="28"/>
          <w:highlight w:val="none"/>
          <w:lang w:eastAsia="zh-CN"/>
        </w:rPr>
        <w:t>中标人</w:t>
      </w:r>
      <w:r>
        <w:rPr>
          <w:rFonts w:hint="eastAsia"/>
          <w:color w:val="000000"/>
          <w:sz w:val="28"/>
          <w:szCs w:val="28"/>
          <w:highlight w:val="none"/>
        </w:rPr>
        <w:t>无违约需扣款情况，在第十二个月末付清</w:t>
      </w:r>
      <w:r>
        <w:rPr>
          <w:rFonts w:hint="eastAsia"/>
          <w:sz w:val="24"/>
          <w:szCs w:val="24"/>
          <w:highlight w:val="none"/>
        </w:rPr>
        <w:t>。</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sz w:val="28"/>
          <w:szCs w:val="28"/>
        </w:rPr>
      </w:pPr>
      <w:r>
        <w:rPr>
          <w:rFonts w:hint="eastAsia"/>
          <w:sz w:val="28"/>
          <w:szCs w:val="28"/>
          <w:lang w:val="en-US" w:eastAsia="zh-CN"/>
        </w:rPr>
        <w:t>2</w:t>
      </w:r>
      <w:r>
        <w:rPr>
          <w:rFonts w:hint="eastAsia"/>
          <w:sz w:val="28"/>
          <w:szCs w:val="28"/>
        </w:rPr>
        <w:t>、本项目执行可调总价，项目单价、工程量均需审计。</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widowControl/>
        <w:jc w:val="center"/>
        <w:rPr>
          <w:rFonts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第三章  评分标准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2"/>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940" w:type="dxa"/>
          </w:tcPr>
          <w:p>
            <w:pPr>
              <w:jc w:val="center"/>
              <w:rPr>
                <w:rFonts w:hint="eastAsia"/>
                <w:sz w:val="28"/>
                <w:szCs w:val="28"/>
                <w:vertAlign w:val="baseline"/>
              </w:rPr>
            </w:pPr>
            <w:r>
              <w:rPr>
                <w:rFonts w:hint="eastAsia"/>
                <w:sz w:val="28"/>
                <w:szCs w:val="28"/>
              </w:rPr>
              <w:t>评分项目及分值</w:t>
            </w:r>
          </w:p>
        </w:tc>
        <w:tc>
          <w:tcPr>
            <w:tcW w:w="6940" w:type="dxa"/>
          </w:tcPr>
          <w:p>
            <w:pPr>
              <w:jc w:val="center"/>
              <w:rPr>
                <w:rFonts w:hint="eastAsia"/>
                <w:sz w:val="28"/>
                <w:szCs w:val="28"/>
                <w:vertAlign w:val="baseline"/>
              </w:rPr>
            </w:pPr>
            <w:r>
              <w:rPr>
                <w:rFonts w:hint="eastAsia"/>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6940" w:type="dxa"/>
          </w:tcPr>
          <w:p>
            <w:pPr>
              <w:jc w:val="center"/>
              <w:rPr>
                <w:rFonts w:hint="eastAsia"/>
                <w:sz w:val="24"/>
                <w:szCs w:val="32"/>
              </w:rPr>
            </w:pPr>
            <w:r>
              <w:rPr>
                <w:rFonts w:hint="eastAsia"/>
                <w:sz w:val="24"/>
                <w:szCs w:val="32"/>
              </w:rPr>
              <w:t>投标报价（</w:t>
            </w:r>
            <w:r>
              <w:rPr>
                <w:rFonts w:hint="eastAsia"/>
                <w:sz w:val="24"/>
                <w:szCs w:val="32"/>
                <w:lang w:val="en-US" w:eastAsia="zh-CN"/>
              </w:rPr>
              <w:t>50</w:t>
            </w:r>
            <w:r>
              <w:rPr>
                <w:rFonts w:hint="eastAsia"/>
                <w:sz w:val="24"/>
                <w:szCs w:val="32"/>
              </w:rPr>
              <w:t>分）</w:t>
            </w:r>
          </w:p>
          <w:p>
            <w:pPr>
              <w:jc w:val="center"/>
              <w:rPr>
                <w:rFonts w:hint="eastAsia"/>
                <w:sz w:val="24"/>
                <w:szCs w:val="32"/>
                <w:vertAlign w:val="baseline"/>
              </w:rPr>
            </w:pPr>
          </w:p>
        </w:tc>
        <w:tc>
          <w:tcPr>
            <w:tcW w:w="6940" w:type="dxa"/>
          </w:tcPr>
          <w:p>
            <w:pPr>
              <w:rPr>
                <w:rFonts w:hint="eastAsia"/>
                <w:sz w:val="24"/>
                <w:szCs w:val="32"/>
              </w:rPr>
            </w:pPr>
            <w:r>
              <w:rPr>
                <w:rFonts w:hint="eastAsia"/>
                <w:sz w:val="24"/>
                <w:szCs w:val="32"/>
              </w:rPr>
              <w:t>满足招标文件要求且投标价格最低的有效投标报价为评标基准价，其价格分为满分</w:t>
            </w:r>
            <w:r>
              <w:rPr>
                <w:rFonts w:hint="eastAsia"/>
                <w:sz w:val="24"/>
                <w:szCs w:val="32"/>
                <w:lang w:val="en-US" w:eastAsia="zh-CN"/>
              </w:rPr>
              <w:t>50</w:t>
            </w:r>
            <w:r>
              <w:rPr>
                <w:rFonts w:hint="eastAsia"/>
                <w:sz w:val="24"/>
                <w:szCs w:val="32"/>
              </w:rPr>
              <w:t>分。</w:t>
            </w:r>
          </w:p>
          <w:p>
            <w:pPr>
              <w:rPr>
                <w:rFonts w:hint="eastAsia"/>
                <w:sz w:val="24"/>
                <w:szCs w:val="32"/>
              </w:rPr>
            </w:pPr>
            <w:r>
              <w:rPr>
                <w:rFonts w:hint="eastAsia"/>
                <w:sz w:val="24"/>
                <w:szCs w:val="32"/>
              </w:rPr>
              <w:t>其他投标人的价格分统一按照下列公式计算：投标报价得分＝（评标基准价／投标报价）x</w:t>
            </w:r>
            <w:r>
              <w:rPr>
                <w:rFonts w:hint="eastAsia"/>
                <w:sz w:val="24"/>
                <w:szCs w:val="32"/>
                <w:lang w:val="en-US" w:eastAsia="zh-CN"/>
              </w:rPr>
              <w:t>50</w:t>
            </w:r>
            <w:r>
              <w:rPr>
                <w:rFonts w:hint="eastAsia"/>
                <w:sz w:val="24"/>
                <w:szCs w:val="32"/>
              </w:rPr>
              <w:t>,结果保留两位小数。（有效投标报价为资格审查合格的所有投标单位报价）。</w:t>
            </w:r>
          </w:p>
          <w:p>
            <w:pP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6940" w:type="dxa"/>
          </w:tcPr>
          <w:p>
            <w:pPr>
              <w:jc w:val="center"/>
              <w:rPr>
                <w:rFonts w:hint="eastAsia"/>
                <w:sz w:val="24"/>
                <w:szCs w:val="32"/>
              </w:rPr>
            </w:pPr>
            <w:r>
              <w:rPr>
                <w:rFonts w:hint="eastAsia"/>
                <w:sz w:val="24"/>
                <w:szCs w:val="32"/>
              </w:rPr>
              <w:t>企业业绩（6分）</w:t>
            </w:r>
          </w:p>
          <w:p>
            <w:pPr>
              <w:jc w:val="center"/>
              <w:rPr>
                <w:rFonts w:hint="eastAsia"/>
                <w:sz w:val="24"/>
                <w:szCs w:val="32"/>
                <w:vertAlign w:val="baseline"/>
              </w:rPr>
            </w:pPr>
          </w:p>
        </w:tc>
        <w:tc>
          <w:tcPr>
            <w:tcW w:w="6940" w:type="dxa"/>
          </w:tcPr>
          <w:p>
            <w:pPr>
              <w:rPr>
                <w:rFonts w:hint="eastAsia"/>
                <w:sz w:val="24"/>
                <w:szCs w:val="32"/>
              </w:rPr>
            </w:pPr>
            <w:r>
              <w:rPr>
                <w:rFonts w:hint="eastAsia"/>
                <w:sz w:val="24"/>
                <w:szCs w:val="32"/>
              </w:rPr>
              <w:t>投标人自2018年7月1日以后签订的同类项目业绩，每提供1份得2分，最高6分。（须提供合同原件、医院支付服务费的银行回单及发票复印件，两者缺一不可，否则不得分）</w:t>
            </w:r>
          </w:p>
          <w:p>
            <w:pP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6940" w:type="dxa"/>
          </w:tcPr>
          <w:p>
            <w:pPr>
              <w:jc w:val="center"/>
              <w:rPr>
                <w:rFonts w:hint="eastAsia"/>
                <w:sz w:val="24"/>
                <w:szCs w:val="32"/>
              </w:rPr>
            </w:pPr>
            <w:r>
              <w:rPr>
                <w:rFonts w:hint="eastAsia"/>
                <w:sz w:val="24"/>
                <w:szCs w:val="32"/>
              </w:rPr>
              <w:t>资信及履约能力（5分）</w:t>
            </w:r>
          </w:p>
          <w:p>
            <w:pPr>
              <w:jc w:val="center"/>
              <w:rPr>
                <w:rFonts w:hint="eastAsia"/>
                <w:sz w:val="24"/>
                <w:szCs w:val="32"/>
                <w:vertAlign w:val="baseline"/>
              </w:rPr>
            </w:pPr>
          </w:p>
        </w:tc>
        <w:tc>
          <w:tcPr>
            <w:tcW w:w="6940" w:type="dxa"/>
          </w:tcPr>
          <w:p>
            <w:pPr>
              <w:rPr>
                <w:rFonts w:hint="eastAsia"/>
                <w:sz w:val="24"/>
                <w:szCs w:val="32"/>
              </w:rPr>
            </w:pPr>
            <w:r>
              <w:rPr>
                <w:rFonts w:hint="eastAsia"/>
                <w:sz w:val="24"/>
                <w:szCs w:val="32"/>
              </w:rPr>
              <w:t>综合考虑投标人财务状况、资信情况、同类项目质量／产品供货履约能力等方面的情况，酌情打分。优得4-5分、良得</w:t>
            </w:r>
            <w:r>
              <w:rPr>
                <w:rFonts w:hint="eastAsia"/>
                <w:sz w:val="24"/>
                <w:szCs w:val="32"/>
                <w:lang w:val="en-US" w:eastAsia="zh-CN"/>
              </w:rPr>
              <w:t>3-4</w:t>
            </w:r>
            <w:r>
              <w:rPr>
                <w:rFonts w:hint="eastAsia"/>
                <w:sz w:val="24"/>
                <w:szCs w:val="32"/>
              </w:rPr>
              <w:t>分、一般得1-</w:t>
            </w:r>
            <w:r>
              <w:rPr>
                <w:rFonts w:hint="eastAsia"/>
                <w:sz w:val="24"/>
                <w:szCs w:val="32"/>
                <w:lang w:val="en-US" w:eastAsia="zh-CN"/>
              </w:rPr>
              <w:t>3</w:t>
            </w:r>
            <w:r>
              <w:rPr>
                <w:rFonts w:hint="eastAsia"/>
                <w:sz w:val="24"/>
                <w:szCs w:val="32"/>
              </w:rPr>
              <w:t>分。</w:t>
            </w:r>
          </w:p>
          <w:p>
            <w:pP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940" w:type="dxa"/>
          </w:tcPr>
          <w:p>
            <w:pPr>
              <w:jc w:val="center"/>
              <w:rPr>
                <w:rFonts w:hint="eastAsia"/>
                <w:sz w:val="24"/>
                <w:szCs w:val="32"/>
              </w:rPr>
            </w:pPr>
            <w:r>
              <w:rPr>
                <w:rFonts w:hint="eastAsia"/>
                <w:sz w:val="24"/>
                <w:szCs w:val="32"/>
              </w:rPr>
              <w:t>服务方案（</w:t>
            </w:r>
            <w:r>
              <w:rPr>
                <w:rFonts w:hint="eastAsia"/>
                <w:sz w:val="24"/>
                <w:szCs w:val="32"/>
                <w:lang w:val="en-US" w:eastAsia="zh-CN"/>
              </w:rPr>
              <w:t>3</w:t>
            </w:r>
            <w:r>
              <w:rPr>
                <w:rFonts w:hint="eastAsia"/>
                <w:sz w:val="24"/>
                <w:szCs w:val="32"/>
              </w:rPr>
              <w:t>5分）</w:t>
            </w:r>
          </w:p>
          <w:p>
            <w:pPr>
              <w:jc w:val="center"/>
              <w:rPr>
                <w:rFonts w:hint="eastAsia"/>
                <w:sz w:val="24"/>
                <w:szCs w:val="32"/>
                <w:vertAlign w:val="baseline"/>
              </w:rPr>
            </w:pPr>
          </w:p>
        </w:tc>
        <w:tc>
          <w:tcPr>
            <w:tcW w:w="6940" w:type="dxa"/>
          </w:tcPr>
          <w:p>
            <w:pPr>
              <w:rPr>
                <w:rFonts w:hint="eastAsia"/>
                <w:sz w:val="24"/>
                <w:szCs w:val="32"/>
              </w:rPr>
            </w:pPr>
            <w:r>
              <w:rPr>
                <w:rFonts w:hint="eastAsia"/>
                <w:sz w:val="24"/>
                <w:szCs w:val="32"/>
              </w:rPr>
              <w:t>根据投标人提供的服务方案酌情打分。优得</w:t>
            </w:r>
            <w:r>
              <w:rPr>
                <w:rFonts w:hint="eastAsia"/>
                <w:sz w:val="24"/>
                <w:szCs w:val="32"/>
                <w:lang w:val="en-US" w:eastAsia="zh-CN"/>
              </w:rPr>
              <w:t>24</w:t>
            </w:r>
            <w:r>
              <w:rPr>
                <w:rFonts w:hint="eastAsia"/>
                <w:sz w:val="24"/>
                <w:szCs w:val="32"/>
              </w:rPr>
              <w:t>-</w:t>
            </w:r>
            <w:r>
              <w:rPr>
                <w:rFonts w:hint="eastAsia"/>
                <w:sz w:val="24"/>
                <w:szCs w:val="32"/>
                <w:lang w:val="en-US" w:eastAsia="zh-CN"/>
              </w:rPr>
              <w:t>3</w:t>
            </w:r>
            <w:r>
              <w:rPr>
                <w:rFonts w:hint="eastAsia"/>
                <w:sz w:val="24"/>
                <w:szCs w:val="32"/>
              </w:rPr>
              <w:t>5分；良得</w:t>
            </w:r>
            <w:r>
              <w:rPr>
                <w:rFonts w:hint="eastAsia"/>
                <w:sz w:val="24"/>
                <w:szCs w:val="32"/>
                <w:lang w:val="en-US" w:eastAsia="zh-CN"/>
              </w:rPr>
              <w:t>1</w:t>
            </w:r>
            <w:r>
              <w:rPr>
                <w:rFonts w:hint="eastAsia"/>
                <w:sz w:val="24"/>
                <w:szCs w:val="32"/>
              </w:rPr>
              <w:t>1-</w:t>
            </w:r>
            <w:r>
              <w:rPr>
                <w:rFonts w:hint="eastAsia"/>
                <w:sz w:val="24"/>
                <w:szCs w:val="32"/>
                <w:lang w:val="en-US" w:eastAsia="zh-CN"/>
              </w:rPr>
              <w:t>24</w:t>
            </w:r>
            <w:r>
              <w:rPr>
                <w:rFonts w:hint="eastAsia"/>
                <w:sz w:val="24"/>
                <w:szCs w:val="32"/>
              </w:rPr>
              <w:t>分；一般得1-</w:t>
            </w:r>
            <w:r>
              <w:rPr>
                <w:rFonts w:hint="eastAsia"/>
                <w:sz w:val="24"/>
                <w:szCs w:val="32"/>
                <w:lang w:val="en-US" w:eastAsia="zh-CN"/>
              </w:rPr>
              <w:t>1</w:t>
            </w:r>
            <w:r>
              <w:rPr>
                <w:rFonts w:hint="eastAsia"/>
                <w:sz w:val="24"/>
                <w:szCs w:val="32"/>
              </w:rPr>
              <w:t>0分。</w:t>
            </w:r>
          </w:p>
          <w:p>
            <w:pPr>
              <w:rPr>
                <w:rFonts w:hint="eastAsia"/>
                <w:sz w:val="24"/>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6940" w:type="dxa"/>
          </w:tcPr>
          <w:p>
            <w:pPr>
              <w:jc w:val="center"/>
              <w:rPr>
                <w:rFonts w:hint="eastAsia"/>
                <w:sz w:val="24"/>
                <w:szCs w:val="32"/>
              </w:rPr>
            </w:pPr>
            <w:r>
              <w:rPr>
                <w:rFonts w:hint="eastAsia"/>
                <w:sz w:val="24"/>
                <w:szCs w:val="32"/>
              </w:rPr>
              <w:t>优惠条件及合理化建议（4分）</w:t>
            </w:r>
          </w:p>
          <w:p>
            <w:pPr>
              <w:jc w:val="center"/>
              <w:rPr>
                <w:rFonts w:hint="eastAsia"/>
                <w:sz w:val="24"/>
                <w:szCs w:val="32"/>
              </w:rPr>
            </w:pPr>
          </w:p>
          <w:p>
            <w:pPr>
              <w:jc w:val="center"/>
              <w:rPr>
                <w:rFonts w:hint="eastAsia"/>
                <w:sz w:val="24"/>
                <w:szCs w:val="32"/>
                <w:vertAlign w:val="baseline"/>
              </w:rPr>
            </w:pPr>
          </w:p>
        </w:tc>
        <w:tc>
          <w:tcPr>
            <w:tcW w:w="6940" w:type="dxa"/>
          </w:tcPr>
          <w:p>
            <w:pPr>
              <w:rPr>
                <w:sz w:val="24"/>
                <w:szCs w:val="32"/>
              </w:rPr>
            </w:pPr>
            <w:r>
              <w:rPr>
                <w:rFonts w:hint="eastAsia"/>
                <w:sz w:val="24"/>
                <w:szCs w:val="32"/>
              </w:rPr>
              <w:t>根据投标人给予的实质性优惠条件和提出的合理化建议，得0-4分。</w:t>
            </w:r>
          </w:p>
          <w:p>
            <w:pPr>
              <w:rPr>
                <w:rFonts w:hint="eastAsia"/>
                <w:sz w:val="24"/>
                <w:szCs w:val="32"/>
                <w:vertAlign w:val="baseline"/>
              </w:rPr>
            </w:pP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Heiti SC 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3365B9"/>
    <w:rsid w:val="01C92E85"/>
    <w:rsid w:val="05C77378"/>
    <w:rsid w:val="068F3362"/>
    <w:rsid w:val="096862C8"/>
    <w:rsid w:val="099E1671"/>
    <w:rsid w:val="09D252B4"/>
    <w:rsid w:val="0F55586F"/>
    <w:rsid w:val="12FD16FD"/>
    <w:rsid w:val="191E18A8"/>
    <w:rsid w:val="1CA74248"/>
    <w:rsid w:val="1ED12DC7"/>
    <w:rsid w:val="1F7B525B"/>
    <w:rsid w:val="27F36A5B"/>
    <w:rsid w:val="2B592D42"/>
    <w:rsid w:val="30862769"/>
    <w:rsid w:val="30ED6026"/>
    <w:rsid w:val="34553072"/>
    <w:rsid w:val="3E294764"/>
    <w:rsid w:val="41795C12"/>
    <w:rsid w:val="434752D4"/>
    <w:rsid w:val="450F39F2"/>
    <w:rsid w:val="455627B7"/>
    <w:rsid w:val="473E600E"/>
    <w:rsid w:val="474655B0"/>
    <w:rsid w:val="489D396D"/>
    <w:rsid w:val="4BDB1355"/>
    <w:rsid w:val="50901E9F"/>
    <w:rsid w:val="572E0F59"/>
    <w:rsid w:val="57C750E8"/>
    <w:rsid w:val="598343A6"/>
    <w:rsid w:val="5AC16BF7"/>
    <w:rsid w:val="602F1439"/>
    <w:rsid w:val="670F0E44"/>
    <w:rsid w:val="67A369D6"/>
    <w:rsid w:val="683E490D"/>
    <w:rsid w:val="699F14B4"/>
    <w:rsid w:val="6B7C41CF"/>
    <w:rsid w:val="6C4760FC"/>
    <w:rsid w:val="6CA170BA"/>
    <w:rsid w:val="6D95366F"/>
    <w:rsid w:val="6E6A35B9"/>
    <w:rsid w:val="6F7F77EB"/>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 w:type="character" w:customStyle="1" w:styleId="18">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1</TotalTime>
  <ScaleCrop>false</ScaleCrop>
  <LinksUpToDate>false</LinksUpToDate>
  <CharactersWithSpaces>7298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2021-07-02T08:52:46Z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B17A530588414CEF9998CB308EC40D01</vt:lpwstr>
  </property>
</Properties>
</file>