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1"/>
          <w:szCs w:val="21"/>
          <w:lang w:val="en-US"/>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山东第一医科大学附属青岛眼科医院科研楼、医疗楼部分外墙等防水堵漏项目竞争性磋商文件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sz w:val="28"/>
          <w:szCs w:val="28"/>
        </w:rPr>
      </w:pPr>
      <w:bookmarkStart w:id="0" w:name="OLE_LINK35"/>
      <w:bookmarkStart w:id="1" w:name="OLE_LINK36"/>
      <w:r>
        <w:rPr>
          <w:rFonts w:hint="eastAsia"/>
          <w:sz w:val="28"/>
          <w:szCs w:val="28"/>
        </w:rPr>
        <w:t>1、在中国境内注册、具有能够独立承担民事责任的企业，具有合法有效的营业执照；</w:t>
      </w:r>
      <w:r>
        <w:rPr>
          <w:rFonts w:hint="eastAsia"/>
          <w:sz w:val="28"/>
          <w:szCs w:val="28"/>
          <w:highlight w:val="none"/>
          <w:lang w:val="en-US" w:eastAsia="zh-CN"/>
        </w:rPr>
        <w:t>防水防腐保温</w:t>
      </w:r>
      <w:r>
        <w:rPr>
          <w:rFonts w:hint="eastAsia"/>
          <w:sz w:val="28"/>
          <w:szCs w:val="28"/>
        </w:rPr>
        <w:t>工程专业承包贰级及以上资质；具备安全生产许可证且在有效期内；</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color w:val="auto"/>
          <w:sz w:val="28"/>
          <w:szCs w:val="28"/>
        </w:rPr>
      </w:pPr>
      <w:r>
        <w:rPr>
          <w:rFonts w:hint="eastAsia"/>
          <w:color w:val="auto"/>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*1.4.2工期、付款方式及工程质保期等（不能低于磋商文件要求）；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h.文明施工、文物保护体系及保证措施；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15"/>
      <w:bookmarkStart w:id="3" w:name="OLE_LINK16"/>
      <w:bookmarkStart w:id="4" w:name="OLE_LINK18"/>
      <w:bookmarkStart w:id="5" w:name="OLE_LINK21"/>
      <w:bookmarkStart w:id="6" w:name="OLE_LINK19"/>
      <w:bookmarkStart w:id="7" w:name="OLE_LINK20"/>
      <w:bookmarkStart w:id="8" w:name="OLE_LINK17"/>
      <w:r>
        <w:rPr>
          <w:rFonts w:hint="eastAsia"/>
          <w:b/>
          <w:sz w:val="28"/>
          <w:szCs w:val="28"/>
        </w:rPr>
        <w:t>一、项目概况</w:t>
      </w:r>
    </w:p>
    <w:p>
      <w:pPr>
        <w:ind w:firstLine="560" w:firstLineChars="200"/>
        <w:rPr>
          <w:sz w:val="28"/>
          <w:szCs w:val="28"/>
        </w:rPr>
      </w:pPr>
      <w:r>
        <w:rPr>
          <w:rFonts w:hint="eastAsia"/>
          <w:sz w:val="28"/>
          <w:szCs w:val="28"/>
        </w:rPr>
        <w:t>1、本次防水维修主要是对科研楼部分外墙；医疗楼5楼、4楼、3楼部分外墙防水及4楼连廊北侧平台小屋顶防水层进行维修。</w:t>
      </w:r>
    </w:p>
    <w:p>
      <w:pPr>
        <w:rPr>
          <w:sz w:val="28"/>
          <w:szCs w:val="28"/>
          <w:highlight w:val="none"/>
        </w:rPr>
      </w:pPr>
      <w:r>
        <w:rPr>
          <w:rFonts w:hint="eastAsia"/>
          <w:sz w:val="28"/>
          <w:szCs w:val="28"/>
        </w:rPr>
        <w:t xml:space="preserve">    2、采购控制价：</w:t>
      </w:r>
      <w:r>
        <w:rPr>
          <w:rFonts w:hint="eastAsia"/>
          <w:sz w:val="28"/>
          <w:szCs w:val="28"/>
          <w:lang w:val="en-US" w:eastAsia="zh-CN"/>
        </w:rPr>
        <w:t>38</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3</w:t>
      </w:r>
      <w:r>
        <w:rPr>
          <w:rFonts w:hint="eastAsia"/>
          <w:sz w:val="28"/>
          <w:szCs w:val="28"/>
          <w:highlight w:val="none"/>
        </w:rPr>
        <w:t>0天</w:t>
      </w:r>
    </w:p>
    <w:p>
      <w:pPr>
        <w:spacing w:line="360" w:lineRule="auto"/>
        <w:ind w:firstLine="560" w:firstLineChars="200"/>
        <w:rPr>
          <w:sz w:val="28"/>
          <w:szCs w:val="28"/>
        </w:rPr>
      </w:pPr>
      <w:r>
        <w:rPr>
          <w:rFonts w:hint="eastAsia"/>
          <w:sz w:val="28"/>
          <w:szCs w:val="28"/>
        </w:rPr>
        <w:t>4、质保期：整体质保期自竣工验收合格之日起不低于</w:t>
      </w:r>
      <w:r>
        <w:rPr>
          <w:rFonts w:hint="eastAsia"/>
          <w:sz w:val="28"/>
          <w:szCs w:val="28"/>
          <w:lang w:val="en-US" w:eastAsia="zh-CN"/>
        </w:rPr>
        <w:t>5</w:t>
      </w:r>
      <w:r>
        <w:rPr>
          <w:rFonts w:hint="eastAsia"/>
          <w:sz w:val="28"/>
          <w:szCs w:val="28"/>
        </w:rPr>
        <w:t>年。</w:t>
      </w:r>
    </w:p>
    <w:p>
      <w:pPr>
        <w:ind w:firstLine="275" w:firstLineChars="98"/>
        <w:jc w:val="left"/>
        <w:rPr>
          <w:rFonts w:hint="eastAsia"/>
          <w:b/>
          <w:sz w:val="28"/>
          <w:szCs w:val="28"/>
          <w:lang w:val="en-US" w:eastAsia="zh-CN"/>
        </w:rPr>
      </w:pPr>
      <w:r>
        <w:rPr>
          <w:rFonts w:hint="eastAsia"/>
          <w:b/>
          <w:sz w:val="28"/>
          <w:szCs w:val="28"/>
        </w:rPr>
        <w:t>二、技术要求</w:t>
      </w:r>
      <w:r>
        <w:rPr>
          <w:rFonts w:hint="eastAsia"/>
          <w:b/>
          <w:sz w:val="28"/>
          <w:szCs w:val="28"/>
          <w:lang w:val="en-US" w:eastAsia="zh-CN"/>
        </w:rPr>
        <w:t>及材料要求</w:t>
      </w:r>
    </w:p>
    <w:p>
      <w:pPr>
        <w:ind w:firstLine="275" w:firstLineChars="98"/>
        <w:jc w:val="left"/>
        <w:rPr>
          <w:rFonts w:hint="default"/>
          <w:b/>
          <w:bCs w:val="0"/>
          <w:sz w:val="28"/>
          <w:szCs w:val="28"/>
          <w:lang w:val="en-US" w:eastAsia="zh-CN"/>
        </w:rPr>
      </w:pPr>
      <w:r>
        <w:rPr>
          <w:rFonts w:hint="eastAsia"/>
          <w:b/>
          <w:bCs w:val="0"/>
          <w:sz w:val="28"/>
          <w:szCs w:val="28"/>
          <w:lang w:val="en-US" w:eastAsia="zh-CN"/>
        </w:rPr>
        <w:t>1</w:t>
      </w:r>
      <w:r>
        <w:rPr>
          <w:rFonts w:hint="default"/>
          <w:b/>
          <w:bCs w:val="0"/>
          <w:sz w:val="28"/>
          <w:szCs w:val="28"/>
          <w:lang w:val="en-US" w:eastAsia="zh-CN"/>
        </w:rPr>
        <w:t>、科研楼外墙：</w:t>
      </w:r>
    </w:p>
    <w:p>
      <w:pPr>
        <w:ind w:firstLine="274" w:firstLineChars="98"/>
        <w:jc w:val="left"/>
        <w:rPr>
          <w:rFonts w:hint="default"/>
          <w:b w:val="0"/>
          <w:bCs/>
          <w:sz w:val="28"/>
          <w:szCs w:val="28"/>
          <w:lang w:val="en-US" w:eastAsia="zh-CN"/>
        </w:rPr>
      </w:pPr>
      <w:r>
        <w:rPr>
          <w:rFonts w:hint="default"/>
          <w:b w:val="0"/>
          <w:bCs/>
          <w:sz w:val="28"/>
          <w:szCs w:val="28"/>
          <w:lang w:val="en-US" w:eastAsia="zh-CN"/>
        </w:rPr>
        <w:t>室外外墙采用高空作业的方式，对外墙漏点开裂裂缝处进行铲除，再进行防水高压灌浆处理，然后涂刷防水浆料两遍，做到涂刷均匀无漏刷现象；施工破损部位刷质感漆，做到与原外墙颜色基本一致；</w:t>
      </w:r>
    </w:p>
    <w:p>
      <w:pPr>
        <w:ind w:firstLine="274" w:firstLineChars="98"/>
        <w:jc w:val="left"/>
        <w:rPr>
          <w:rFonts w:hint="default"/>
          <w:b w:val="0"/>
          <w:bCs/>
          <w:sz w:val="28"/>
          <w:szCs w:val="28"/>
          <w:lang w:val="en-US" w:eastAsia="zh-CN"/>
        </w:rPr>
      </w:pPr>
      <w:r>
        <w:rPr>
          <w:rFonts w:hint="default"/>
          <w:b w:val="0"/>
          <w:bCs/>
          <w:sz w:val="28"/>
          <w:szCs w:val="28"/>
          <w:lang w:val="en-US" w:eastAsia="zh-CN"/>
        </w:rPr>
        <w:t>室内做好防护，清理室内内墙发霉腻子，刮内墙腻子，涂刷内墙乳胶漆；</w:t>
      </w:r>
    </w:p>
    <w:p>
      <w:pPr>
        <w:ind w:firstLine="274" w:firstLineChars="98"/>
        <w:jc w:val="left"/>
        <w:rPr>
          <w:rFonts w:hint="default"/>
          <w:b w:val="0"/>
          <w:bCs/>
          <w:sz w:val="28"/>
          <w:szCs w:val="28"/>
          <w:lang w:val="en-US" w:eastAsia="zh-CN"/>
        </w:rPr>
      </w:pPr>
      <w:r>
        <w:rPr>
          <w:rFonts w:hint="default"/>
          <w:b w:val="0"/>
          <w:bCs/>
          <w:sz w:val="28"/>
          <w:szCs w:val="28"/>
          <w:lang w:val="en-US" w:eastAsia="zh-CN"/>
        </w:rPr>
        <w:t>破损石膏板及窗帘盒修复恢复；</w:t>
      </w:r>
    </w:p>
    <w:p>
      <w:pPr>
        <w:ind w:firstLine="274" w:firstLineChars="98"/>
        <w:jc w:val="left"/>
        <w:rPr>
          <w:rFonts w:hint="default"/>
          <w:b w:val="0"/>
          <w:bCs/>
          <w:sz w:val="28"/>
          <w:szCs w:val="28"/>
          <w:lang w:val="en-US" w:eastAsia="zh-CN"/>
        </w:rPr>
      </w:pPr>
      <w:r>
        <w:rPr>
          <w:rFonts w:hint="default"/>
          <w:b w:val="0"/>
          <w:bCs/>
          <w:sz w:val="28"/>
          <w:szCs w:val="28"/>
          <w:lang w:val="en-US" w:eastAsia="zh-CN"/>
        </w:rPr>
        <w:t>清理清洁施工现场卫生；</w:t>
      </w:r>
    </w:p>
    <w:p>
      <w:pPr>
        <w:ind w:firstLine="274" w:firstLineChars="98"/>
        <w:jc w:val="left"/>
        <w:rPr>
          <w:rFonts w:hint="default"/>
          <w:b w:val="0"/>
          <w:bCs/>
          <w:sz w:val="28"/>
          <w:szCs w:val="28"/>
          <w:lang w:val="en-US" w:eastAsia="zh-CN"/>
        </w:rPr>
      </w:pPr>
      <w:r>
        <w:rPr>
          <w:rFonts w:hint="default"/>
          <w:b w:val="0"/>
          <w:bCs/>
          <w:sz w:val="28"/>
          <w:szCs w:val="28"/>
          <w:lang w:val="en-US" w:eastAsia="zh-CN"/>
        </w:rPr>
        <w:t>防水注浆材料品牌：七彩雨虹或潍坊迪宝；</w:t>
      </w:r>
    </w:p>
    <w:p>
      <w:pPr>
        <w:ind w:firstLine="274" w:firstLineChars="98"/>
        <w:jc w:val="left"/>
        <w:rPr>
          <w:rFonts w:hint="default"/>
          <w:b w:val="0"/>
          <w:bCs/>
          <w:sz w:val="28"/>
          <w:szCs w:val="28"/>
          <w:lang w:val="en-US" w:eastAsia="zh-CN"/>
        </w:rPr>
      </w:pPr>
      <w:r>
        <w:rPr>
          <w:rFonts w:hint="default"/>
          <w:b w:val="0"/>
          <w:bCs/>
          <w:sz w:val="28"/>
          <w:szCs w:val="28"/>
          <w:lang w:val="en-US" w:eastAsia="zh-CN"/>
        </w:rPr>
        <w:t>内墙涂料：立邦或多乐士环保净味漆、腻子（鸿福居或立邦）</w:t>
      </w:r>
    </w:p>
    <w:p>
      <w:pPr>
        <w:ind w:firstLine="275" w:firstLineChars="98"/>
        <w:jc w:val="left"/>
        <w:rPr>
          <w:rFonts w:hint="default"/>
          <w:b/>
          <w:bCs w:val="0"/>
          <w:sz w:val="28"/>
          <w:szCs w:val="28"/>
          <w:lang w:val="en-US" w:eastAsia="zh-CN"/>
        </w:rPr>
      </w:pPr>
      <w:r>
        <w:rPr>
          <w:rFonts w:hint="default"/>
          <w:b/>
          <w:bCs w:val="0"/>
          <w:sz w:val="28"/>
          <w:szCs w:val="28"/>
          <w:lang w:val="en-US" w:eastAsia="zh-CN"/>
        </w:rPr>
        <w:t>2、医疗3、4、5楼外墙：</w:t>
      </w:r>
    </w:p>
    <w:p>
      <w:pPr>
        <w:ind w:firstLine="274" w:firstLineChars="98"/>
        <w:jc w:val="left"/>
        <w:rPr>
          <w:rFonts w:hint="default"/>
          <w:b w:val="0"/>
          <w:bCs/>
          <w:sz w:val="28"/>
          <w:szCs w:val="28"/>
          <w:lang w:val="en-US" w:eastAsia="zh-CN"/>
        </w:rPr>
      </w:pPr>
      <w:r>
        <w:rPr>
          <w:rFonts w:hint="default"/>
          <w:b w:val="0"/>
          <w:bCs/>
          <w:sz w:val="28"/>
          <w:szCs w:val="28"/>
          <w:lang w:val="en-US" w:eastAsia="zh-CN"/>
        </w:rPr>
        <w:t>室外外墙采用高空作业的方式对外墙漏点开裂裂缝处进行铲除，再进行防水高压灌浆处理，然后涂刷防水浆料两遍，做到涂刷均匀无漏刷现象；施工破损部位刷质感漆，做到与原外墙颜色基本一致；</w:t>
      </w:r>
    </w:p>
    <w:p>
      <w:pPr>
        <w:ind w:firstLine="274" w:firstLineChars="98"/>
        <w:jc w:val="left"/>
        <w:rPr>
          <w:rFonts w:hint="default"/>
          <w:b w:val="0"/>
          <w:bCs/>
          <w:sz w:val="28"/>
          <w:szCs w:val="28"/>
          <w:lang w:val="en-US" w:eastAsia="zh-CN"/>
        </w:rPr>
      </w:pPr>
      <w:r>
        <w:rPr>
          <w:rFonts w:hint="default"/>
          <w:b w:val="0"/>
          <w:bCs/>
          <w:sz w:val="28"/>
          <w:szCs w:val="28"/>
          <w:lang w:val="en-US" w:eastAsia="zh-CN"/>
        </w:rPr>
        <w:t>室内做好防护，清理室内内墙发霉腻子，刮内墙腻子，涂刷内墙乳胶漆；</w:t>
      </w:r>
    </w:p>
    <w:p>
      <w:pPr>
        <w:ind w:firstLine="274" w:firstLineChars="98"/>
        <w:jc w:val="left"/>
        <w:rPr>
          <w:rFonts w:hint="default"/>
          <w:b w:val="0"/>
          <w:bCs/>
          <w:sz w:val="28"/>
          <w:szCs w:val="28"/>
          <w:lang w:val="en-US" w:eastAsia="zh-CN"/>
        </w:rPr>
      </w:pPr>
      <w:r>
        <w:rPr>
          <w:rFonts w:hint="default"/>
          <w:b w:val="0"/>
          <w:bCs/>
          <w:sz w:val="28"/>
          <w:szCs w:val="28"/>
          <w:lang w:val="en-US" w:eastAsia="zh-CN"/>
        </w:rPr>
        <w:t>破损石膏板及窗帘盒修复恢复；</w:t>
      </w:r>
    </w:p>
    <w:p>
      <w:pPr>
        <w:ind w:firstLine="274" w:firstLineChars="98"/>
        <w:jc w:val="left"/>
        <w:rPr>
          <w:rFonts w:hint="default"/>
          <w:b w:val="0"/>
          <w:bCs/>
          <w:sz w:val="28"/>
          <w:szCs w:val="28"/>
          <w:lang w:val="en-US" w:eastAsia="zh-CN"/>
        </w:rPr>
      </w:pPr>
      <w:r>
        <w:rPr>
          <w:rFonts w:hint="default"/>
          <w:b w:val="0"/>
          <w:bCs/>
          <w:sz w:val="28"/>
          <w:szCs w:val="28"/>
          <w:lang w:val="en-US" w:eastAsia="zh-CN"/>
        </w:rPr>
        <w:t>清理清洁施工现场卫生；</w:t>
      </w:r>
    </w:p>
    <w:p>
      <w:pPr>
        <w:ind w:firstLine="274" w:firstLineChars="98"/>
        <w:jc w:val="left"/>
        <w:rPr>
          <w:rFonts w:hint="default"/>
          <w:b w:val="0"/>
          <w:bCs/>
          <w:sz w:val="28"/>
          <w:szCs w:val="28"/>
          <w:lang w:val="en-US" w:eastAsia="zh-CN"/>
        </w:rPr>
      </w:pPr>
      <w:r>
        <w:rPr>
          <w:rFonts w:hint="default"/>
          <w:b w:val="0"/>
          <w:bCs/>
          <w:sz w:val="28"/>
          <w:szCs w:val="28"/>
          <w:lang w:val="en-US" w:eastAsia="zh-CN"/>
        </w:rPr>
        <w:t>外墙户外灯带防水处理，采用刚性防水材料对灯带进行嵌缝堵漏处理，并对嵌缝处打耐候胶，然后采用透明防水专用外墙涂料对灯带四周10—20公分范围之内涂刷三遍；</w:t>
      </w:r>
    </w:p>
    <w:p>
      <w:pPr>
        <w:ind w:firstLine="274" w:firstLineChars="98"/>
        <w:jc w:val="left"/>
        <w:rPr>
          <w:rFonts w:hint="default"/>
          <w:b w:val="0"/>
          <w:bCs/>
          <w:sz w:val="28"/>
          <w:szCs w:val="28"/>
          <w:lang w:val="en-US" w:eastAsia="zh-CN"/>
        </w:rPr>
      </w:pPr>
      <w:r>
        <w:rPr>
          <w:rFonts w:hint="default"/>
          <w:b w:val="0"/>
          <w:bCs/>
          <w:sz w:val="28"/>
          <w:szCs w:val="28"/>
          <w:lang w:val="en-US" w:eastAsia="zh-CN"/>
        </w:rPr>
        <w:t>防水注浆材料品牌：七彩雨虹或潍坊迪宝；透明防水专用外墙涂料：中建或强人</w:t>
      </w:r>
    </w:p>
    <w:p>
      <w:pPr>
        <w:ind w:firstLine="274" w:firstLineChars="98"/>
        <w:jc w:val="left"/>
        <w:rPr>
          <w:rFonts w:hint="default"/>
          <w:b w:val="0"/>
          <w:bCs/>
          <w:sz w:val="28"/>
          <w:szCs w:val="28"/>
          <w:lang w:val="en-US" w:eastAsia="zh-CN"/>
        </w:rPr>
      </w:pPr>
      <w:r>
        <w:rPr>
          <w:rFonts w:hint="default"/>
          <w:b w:val="0"/>
          <w:bCs/>
          <w:sz w:val="28"/>
          <w:szCs w:val="28"/>
          <w:lang w:val="en-US" w:eastAsia="zh-CN"/>
        </w:rPr>
        <w:t>内墙涂料：立邦或多乐士环保净味漆、腻子（鸿福居或立邦）</w:t>
      </w:r>
    </w:p>
    <w:p>
      <w:pPr>
        <w:ind w:firstLine="274" w:firstLineChars="98"/>
        <w:jc w:val="left"/>
        <w:rPr>
          <w:rFonts w:hint="default"/>
          <w:b w:val="0"/>
          <w:bCs/>
          <w:sz w:val="28"/>
          <w:szCs w:val="28"/>
          <w:lang w:val="en-US" w:eastAsia="zh-CN"/>
        </w:rPr>
      </w:pPr>
      <w:r>
        <w:rPr>
          <w:rFonts w:hint="default"/>
          <w:b w:val="0"/>
          <w:bCs/>
          <w:sz w:val="28"/>
          <w:szCs w:val="28"/>
          <w:lang w:val="en-US" w:eastAsia="zh-CN"/>
        </w:rPr>
        <w:t>3、四楼连廊北侧平台小屋顶：</w:t>
      </w:r>
    </w:p>
    <w:p>
      <w:pPr>
        <w:ind w:firstLine="274" w:firstLineChars="98"/>
        <w:jc w:val="left"/>
        <w:rPr>
          <w:rFonts w:hint="default"/>
          <w:b w:val="0"/>
          <w:bCs/>
          <w:sz w:val="28"/>
          <w:szCs w:val="28"/>
          <w:lang w:val="en-US" w:eastAsia="zh-CN"/>
        </w:rPr>
      </w:pPr>
      <w:r>
        <w:rPr>
          <w:rFonts w:hint="default"/>
          <w:b w:val="0"/>
          <w:bCs/>
          <w:sz w:val="28"/>
          <w:szCs w:val="28"/>
          <w:lang w:val="en-US" w:eastAsia="zh-CN"/>
        </w:rPr>
        <w:t>1、连廊北侧平台小屋顶铺贴-20℃ 3㎜+3㎜沥青防水卷材，清理屋面尘土垃圾污物，涂刷专用冷粘结剂，铺贴防水卷材，做到搭接严密，平整美观</w:t>
      </w:r>
    </w:p>
    <w:p>
      <w:pPr>
        <w:ind w:firstLine="274" w:firstLineChars="98"/>
        <w:jc w:val="left"/>
        <w:rPr>
          <w:rFonts w:hint="default"/>
          <w:b w:val="0"/>
          <w:bCs/>
          <w:sz w:val="28"/>
          <w:szCs w:val="28"/>
          <w:lang w:val="en-US" w:eastAsia="zh-CN"/>
        </w:rPr>
      </w:pPr>
      <w:r>
        <w:rPr>
          <w:rFonts w:hint="default"/>
          <w:b w:val="0"/>
          <w:bCs/>
          <w:sz w:val="28"/>
          <w:szCs w:val="28"/>
          <w:lang w:val="en-US" w:eastAsia="zh-CN"/>
        </w:rPr>
        <w:t>2、SBS防水卷材品牌：颐中、东方雨虹</w:t>
      </w:r>
    </w:p>
    <w:p>
      <w:pPr>
        <w:numPr>
          <w:ilvl w:val="0"/>
          <w:numId w:val="2"/>
        </w:numPr>
        <w:ind w:left="300" w:leftChars="0" w:firstLine="0" w:firstLineChars="0"/>
        <w:rPr>
          <w:rFonts w:hint="eastAsia"/>
          <w:b/>
          <w:sz w:val="30"/>
          <w:szCs w:val="30"/>
        </w:rPr>
      </w:pPr>
      <w:r>
        <w:rPr>
          <w:rFonts w:hint="eastAsia"/>
          <w:b/>
          <w:sz w:val="30"/>
          <w:szCs w:val="30"/>
          <w:lang w:val="en-US" w:eastAsia="zh-CN"/>
        </w:rPr>
        <w:t>其他</w:t>
      </w:r>
      <w:r>
        <w:rPr>
          <w:rFonts w:hint="eastAsia"/>
          <w:b/>
          <w:sz w:val="30"/>
          <w:szCs w:val="30"/>
        </w:rPr>
        <w:t>要求</w:t>
      </w:r>
    </w:p>
    <w:p>
      <w:pPr>
        <w:numPr>
          <w:ilvl w:val="0"/>
          <w:numId w:val="0"/>
        </w:numPr>
        <w:ind w:left="300" w:leftChars="0"/>
        <w:rPr>
          <w:rFonts w:hint="eastAsia"/>
          <w:b w:val="0"/>
          <w:bCs/>
          <w:sz w:val="30"/>
          <w:szCs w:val="30"/>
        </w:rPr>
      </w:pPr>
      <w:r>
        <w:rPr>
          <w:rFonts w:hint="eastAsia"/>
          <w:b w:val="0"/>
          <w:bCs/>
          <w:sz w:val="30"/>
          <w:szCs w:val="30"/>
        </w:rPr>
        <w:t>1、施工现场安全防护、防尘防护，在规定的范围施工，保护好周边环境及公共设施。</w:t>
      </w:r>
    </w:p>
    <w:p>
      <w:pPr>
        <w:numPr>
          <w:ilvl w:val="0"/>
          <w:numId w:val="0"/>
        </w:numPr>
        <w:ind w:left="300" w:leftChars="0"/>
        <w:rPr>
          <w:rFonts w:hint="eastAsia"/>
          <w:b w:val="0"/>
          <w:bCs/>
          <w:sz w:val="30"/>
          <w:szCs w:val="30"/>
        </w:rPr>
      </w:pPr>
      <w:r>
        <w:rPr>
          <w:rFonts w:hint="eastAsia"/>
          <w:b w:val="0"/>
          <w:bCs/>
          <w:sz w:val="30"/>
          <w:szCs w:val="30"/>
        </w:rPr>
        <w:t>2、工程所用材料，必须选用质量达标，对人和环境无毒无害的绿色环保材料。</w:t>
      </w:r>
    </w:p>
    <w:p>
      <w:pPr>
        <w:numPr>
          <w:ilvl w:val="0"/>
          <w:numId w:val="0"/>
        </w:numPr>
        <w:ind w:left="300" w:leftChars="0"/>
        <w:rPr>
          <w:rFonts w:hint="eastAsia"/>
          <w:b w:val="0"/>
          <w:bCs/>
          <w:sz w:val="30"/>
          <w:szCs w:val="30"/>
        </w:rPr>
      </w:pPr>
      <w:r>
        <w:rPr>
          <w:rFonts w:hint="eastAsia"/>
          <w:b w:val="0"/>
          <w:bCs/>
          <w:sz w:val="30"/>
          <w:szCs w:val="30"/>
        </w:rPr>
        <w:t>3、保证安全、文明施工，要求施工场地整洁有序。</w:t>
      </w:r>
    </w:p>
    <w:p>
      <w:pPr>
        <w:numPr>
          <w:ilvl w:val="0"/>
          <w:numId w:val="0"/>
        </w:numPr>
        <w:ind w:left="300" w:leftChars="0"/>
        <w:rPr>
          <w:rFonts w:hint="eastAsia"/>
          <w:b w:val="0"/>
          <w:bCs/>
          <w:sz w:val="30"/>
          <w:szCs w:val="30"/>
        </w:rPr>
      </w:pPr>
      <w:r>
        <w:rPr>
          <w:rFonts w:hint="eastAsia"/>
          <w:b w:val="0"/>
          <w:bCs/>
          <w:sz w:val="30"/>
          <w:szCs w:val="30"/>
        </w:rPr>
        <w:t>4、必须严格按照国家工程技术规范标准施工，并达到国家工程质量验收规范标准。</w:t>
      </w:r>
    </w:p>
    <w:p>
      <w:pPr>
        <w:numPr>
          <w:ilvl w:val="0"/>
          <w:numId w:val="0"/>
        </w:numPr>
        <w:ind w:left="300" w:leftChars="0"/>
        <w:rPr>
          <w:rFonts w:hint="eastAsia"/>
          <w:b w:val="0"/>
          <w:bCs/>
          <w:sz w:val="30"/>
          <w:szCs w:val="30"/>
        </w:rPr>
      </w:pPr>
      <w:r>
        <w:rPr>
          <w:rFonts w:hint="eastAsia"/>
          <w:b w:val="0"/>
          <w:bCs/>
          <w:sz w:val="30"/>
          <w:szCs w:val="30"/>
        </w:rPr>
        <w:t>5、装修建材需符合以下要求：各项原材料需确保无假冒伪劣，来源渠道正规可查。</w:t>
      </w:r>
    </w:p>
    <w:p>
      <w:pPr>
        <w:numPr>
          <w:ilvl w:val="0"/>
          <w:numId w:val="0"/>
        </w:numPr>
        <w:ind w:left="300" w:leftChars="0"/>
        <w:rPr>
          <w:rFonts w:hint="eastAsia"/>
          <w:b w:val="0"/>
          <w:bCs/>
          <w:sz w:val="30"/>
          <w:szCs w:val="30"/>
        </w:rPr>
      </w:pPr>
      <w:r>
        <w:rPr>
          <w:rFonts w:hint="eastAsia"/>
          <w:b w:val="0"/>
          <w:bCs/>
          <w:sz w:val="30"/>
          <w:szCs w:val="30"/>
        </w:rPr>
        <w:t>6、施工现场要求整洁、有序，无违章施工。</w:t>
      </w:r>
    </w:p>
    <w:p>
      <w:pPr>
        <w:numPr>
          <w:ilvl w:val="0"/>
          <w:numId w:val="0"/>
        </w:numPr>
        <w:ind w:left="300" w:leftChars="0"/>
        <w:rPr>
          <w:rFonts w:hint="eastAsia"/>
          <w:b w:val="0"/>
          <w:bCs/>
          <w:sz w:val="30"/>
          <w:szCs w:val="30"/>
        </w:rPr>
      </w:pPr>
      <w:r>
        <w:rPr>
          <w:rFonts w:hint="eastAsia"/>
          <w:b w:val="0"/>
          <w:bCs/>
          <w:sz w:val="30"/>
          <w:szCs w:val="30"/>
        </w:rPr>
        <w:t>7、安全施工、文明施工，施工期间不影响正常营业环境。</w:t>
      </w:r>
    </w:p>
    <w:p>
      <w:pPr>
        <w:numPr>
          <w:ilvl w:val="0"/>
          <w:numId w:val="0"/>
        </w:numPr>
        <w:ind w:left="300" w:leftChars="0"/>
        <w:rPr>
          <w:rFonts w:hint="eastAsia"/>
          <w:b w:val="0"/>
          <w:bCs/>
          <w:sz w:val="30"/>
          <w:szCs w:val="30"/>
        </w:rPr>
      </w:pPr>
      <w:r>
        <w:rPr>
          <w:rFonts w:hint="eastAsia"/>
          <w:b w:val="0"/>
          <w:bCs/>
          <w:sz w:val="30"/>
          <w:szCs w:val="30"/>
        </w:rPr>
        <w:t>8、不得与职工、患者发生争执。</w:t>
      </w:r>
    </w:p>
    <w:p>
      <w:pPr>
        <w:numPr>
          <w:ilvl w:val="0"/>
          <w:numId w:val="0"/>
        </w:numPr>
        <w:ind w:left="300" w:leftChars="0"/>
        <w:rPr>
          <w:rFonts w:hint="eastAsia"/>
          <w:b w:val="0"/>
          <w:bCs/>
          <w:sz w:val="30"/>
          <w:szCs w:val="30"/>
        </w:rPr>
      </w:pPr>
      <w:r>
        <w:rPr>
          <w:rFonts w:hint="eastAsia"/>
          <w:b w:val="0"/>
          <w:bCs/>
          <w:sz w:val="30"/>
          <w:szCs w:val="30"/>
        </w:rPr>
        <w:t>9、具体事项要求投标单位勘查现场，以现场实际情况为准。</w:t>
      </w:r>
    </w:p>
    <w:p>
      <w:pPr>
        <w:rPr>
          <w:b/>
          <w:sz w:val="28"/>
          <w:szCs w:val="28"/>
        </w:rPr>
      </w:pPr>
      <w:r>
        <w:rPr>
          <w:rFonts w:hint="eastAsia"/>
          <w:b/>
          <w:sz w:val="28"/>
          <w:szCs w:val="28"/>
        </w:rPr>
        <w:t xml:space="preserve">  四、工程量清单说明及报价说明</w:t>
      </w:r>
    </w:p>
    <w:p>
      <w:pPr>
        <w:ind w:firstLine="280" w:firstLineChars="100"/>
        <w:rPr>
          <w:sz w:val="28"/>
          <w:szCs w:val="28"/>
        </w:rPr>
      </w:pPr>
      <w:r>
        <w:rPr>
          <w:rFonts w:hint="eastAsia"/>
          <w:sz w:val="28"/>
          <w:szCs w:val="28"/>
        </w:rPr>
        <w:t>（一）工程量清单说明</w:t>
      </w:r>
    </w:p>
    <w:p>
      <w:pPr>
        <w:ind w:firstLine="560" w:firstLineChars="200"/>
        <w:rPr>
          <w:sz w:val="28"/>
          <w:szCs w:val="28"/>
        </w:rPr>
      </w:pPr>
      <w:r>
        <w:rPr>
          <w:rFonts w:hint="eastAsia"/>
          <w:sz w:val="28"/>
          <w:szCs w:val="28"/>
        </w:rPr>
        <w:t>1、本工程量清单是根据磋商文件中包括的、有合同约束力的图纸以及有关工程量清单的国家标准、行业标准、合同条款中约定的工程量计算规则编制。</w:t>
      </w:r>
    </w:p>
    <w:p>
      <w:pPr>
        <w:ind w:firstLine="560" w:firstLineChars="200"/>
        <w:rPr>
          <w:sz w:val="28"/>
          <w:szCs w:val="28"/>
        </w:rPr>
      </w:pPr>
      <w:r>
        <w:rPr>
          <w:rFonts w:hint="eastAsia"/>
          <w:sz w:val="28"/>
          <w:szCs w:val="28"/>
        </w:rPr>
        <w:t>2、本工程量清单应与磋商文件中的供应商须知、通用合同条款、专用合同条款、技术标准和要求及图纸等一起阅读和理解。</w:t>
      </w:r>
    </w:p>
    <w:p>
      <w:pPr>
        <w:ind w:firstLine="560" w:firstLineChars="200"/>
        <w:rPr>
          <w:sz w:val="28"/>
          <w:szCs w:val="28"/>
        </w:rPr>
      </w:pPr>
      <w:r>
        <w:rPr>
          <w:rFonts w:hint="eastAsia"/>
          <w:sz w:val="28"/>
          <w:szCs w:val="28"/>
        </w:rPr>
        <w:t>3、本工程量清单仅是报价的共同基础，实际工程计量和工程价款的支付应遵循合同条款的约定和本章有关规定。</w:t>
      </w:r>
    </w:p>
    <w:p>
      <w:pPr>
        <w:spacing w:line="360" w:lineRule="auto"/>
        <w:ind w:firstLine="280" w:firstLineChars="100"/>
        <w:rPr>
          <w:sz w:val="28"/>
          <w:szCs w:val="28"/>
        </w:rPr>
      </w:pPr>
      <w:r>
        <w:rPr>
          <w:rFonts w:hint="eastAsia"/>
          <w:sz w:val="28"/>
          <w:szCs w:val="28"/>
        </w:rPr>
        <w:t>（二）报价说明</w:t>
      </w:r>
    </w:p>
    <w:p>
      <w:pPr>
        <w:spacing w:line="360" w:lineRule="auto"/>
        <w:ind w:firstLine="560" w:firstLineChars="200"/>
        <w:rPr>
          <w:sz w:val="28"/>
          <w:szCs w:val="28"/>
        </w:rPr>
      </w:pPr>
      <w:r>
        <w:rPr>
          <w:rFonts w:hint="eastAsia"/>
          <w:sz w:val="28"/>
          <w:szCs w:val="28"/>
        </w:rPr>
        <w:t>1、工程量清单中的每一子目须填入单价或价格，且只允许有一个报价。</w:t>
      </w:r>
    </w:p>
    <w:p>
      <w:pPr>
        <w:spacing w:line="360" w:lineRule="auto"/>
        <w:ind w:firstLine="560" w:firstLineChars="200"/>
        <w:rPr>
          <w:sz w:val="28"/>
          <w:szCs w:val="28"/>
        </w:rPr>
      </w:pPr>
      <w:r>
        <w:rPr>
          <w:rFonts w:hint="eastAsia"/>
          <w:sz w:val="28"/>
          <w:szCs w:val="28"/>
        </w:rPr>
        <w:t>2、工程量清单成交价的单价或金额，应包括所需的人工费、材料和施工机具使用费和企业管理费、利润以及一定范围内的风险费用等。</w:t>
      </w:r>
    </w:p>
    <w:p>
      <w:pPr>
        <w:spacing w:line="360" w:lineRule="auto"/>
        <w:ind w:firstLine="560" w:firstLineChars="200"/>
        <w:rPr>
          <w:sz w:val="28"/>
          <w:szCs w:val="28"/>
        </w:rPr>
      </w:pPr>
      <w:r>
        <w:rPr>
          <w:rFonts w:hint="eastAsia"/>
          <w:sz w:val="28"/>
          <w:szCs w:val="28"/>
        </w:rPr>
        <w:t>3、工程量清单中供应商没有填入单价或价格的子目，其费用视为已分摊在工程量清单中其他相关子目的单价或价格之中。</w:t>
      </w:r>
    </w:p>
    <w:p>
      <w:pPr>
        <w:ind w:firstLine="413" w:firstLineChars="147"/>
        <w:jc w:val="left"/>
        <w:rPr>
          <w:b/>
          <w:sz w:val="28"/>
          <w:szCs w:val="28"/>
        </w:rPr>
      </w:pPr>
      <w:r>
        <w:rPr>
          <w:rFonts w:hint="eastAsia"/>
          <w:b/>
          <w:sz w:val="28"/>
          <w:szCs w:val="28"/>
        </w:rPr>
        <w:t>五、其他</w:t>
      </w:r>
    </w:p>
    <w:p>
      <w:pPr>
        <w:ind w:firstLine="560" w:firstLineChars="200"/>
        <w:jc w:val="left"/>
        <w:rPr>
          <w:sz w:val="28"/>
          <w:szCs w:val="28"/>
        </w:rPr>
      </w:pPr>
      <w:r>
        <w:rPr>
          <w:rFonts w:hint="eastAsia"/>
          <w:sz w:val="28"/>
          <w:szCs w:val="28"/>
        </w:rPr>
        <w:t>本项目执行可调总价，项目单价、工程量均需审计。</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highlight w:val="none"/>
        </w:rPr>
      </w:pPr>
    </w:p>
    <w:p>
      <w:pPr>
        <w:widowControl/>
        <w:jc w:val="center"/>
        <w:rPr>
          <w:rFonts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第三章  评分标准</w:t>
      </w:r>
    </w:p>
    <w:tbl>
      <w:tblPr>
        <w:tblStyle w:val="8"/>
        <w:tblW w:w="994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gridCol w:w="8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096"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7047"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02" w:hRule="atLeast"/>
          <w:jc w:val="center"/>
        </w:trPr>
        <w:tc>
          <w:tcPr>
            <w:tcW w:w="2096" w:type="dxa"/>
            <w:vAlign w:val="center"/>
          </w:tcPr>
          <w:p>
            <w:pPr>
              <w:widowControl/>
              <w:adjustRightInd w:val="0"/>
              <w:snapToGrid w:val="0"/>
              <w:spacing w:line="400" w:lineRule="exact"/>
              <w:ind w:right="-50" w:rightChars="-24" w:firstLine="480"/>
              <w:rPr>
                <w:rFonts w:hint="eastAsia" w:ascii="仿宋_GB2312" w:hAnsi="宋体" w:eastAsia="仿宋_GB2312"/>
                <w:bCs/>
                <w:sz w:val="24"/>
                <w:szCs w:val="24"/>
              </w:rPr>
            </w:pPr>
            <w:r>
              <w:rPr>
                <w:rFonts w:hint="eastAsia" w:ascii="仿宋_GB2312" w:hAnsi="宋体" w:eastAsia="仿宋_GB2312"/>
                <w:bCs/>
                <w:sz w:val="24"/>
                <w:szCs w:val="24"/>
              </w:rPr>
              <w:t>报  价</w:t>
            </w:r>
          </w:p>
          <w:p>
            <w:pPr>
              <w:widowControl/>
              <w:adjustRightInd w:val="0"/>
              <w:snapToGrid w:val="0"/>
              <w:spacing w:line="400" w:lineRule="exact"/>
              <w:ind w:right="-50" w:rightChars="-24" w:firstLine="290" w:firstLineChars="121"/>
              <w:rPr>
                <w:rFonts w:hint="eastAsia" w:ascii="仿宋_GB2312" w:hAnsi="宋体" w:eastAsia="仿宋_GB2312"/>
                <w:bCs/>
                <w:sz w:val="24"/>
                <w:szCs w:val="24"/>
              </w:rPr>
            </w:pPr>
            <w:r>
              <w:rPr>
                <w:rFonts w:hint="eastAsia" w:ascii="仿宋_GB2312" w:hAnsi="宋体" w:eastAsia="仿宋_GB2312"/>
                <w:bCs/>
                <w:sz w:val="24"/>
                <w:szCs w:val="24"/>
              </w:rPr>
              <w:t>（30分）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eastAsia="仿宋_GB2312"/>
                <w:sz w:val="24"/>
              </w:rPr>
              <w:t>满足磋商文件要求且投标价格最低的最终报价为评标基准价，其 价格分为满分（30 分）。其他投标人的价格分统一按照下列公式 计算：投标报价得分＝（评标基准价／投标报价)×30×100%。</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2096" w:type="dxa"/>
            <w:vAlign w:val="center"/>
          </w:tcPr>
          <w:p>
            <w:pPr>
              <w:spacing w:line="360" w:lineRule="exact"/>
              <w:jc w:val="center"/>
              <w:rPr>
                <w:rFonts w:hint="eastAsia" w:ascii="仿宋_GB2312" w:hAnsi="宋体" w:eastAsia="仿宋_GB2312"/>
                <w:bCs/>
                <w:sz w:val="24"/>
                <w:szCs w:val="24"/>
              </w:rPr>
            </w:pPr>
            <w:r>
              <w:rPr>
                <w:rFonts w:hint="eastAsia" w:ascii="仿宋_GB2312" w:hAnsi="宋体" w:eastAsia="仿宋_GB2312"/>
                <w:bCs/>
                <w:sz w:val="24"/>
                <w:szCs w:val="24"/>
              </w:rPr>
              <w:t>企业业绩</w:t>
            </w:r>
          </w:p>
          <w:p>
            <w:pPr>
              <w:spacing w:line="360" w:lineRule="exact"/>
              <w:jc w:val="center"/>
              <w:rPr>
                <w:rFonts w:hint="eastAsia" w:ascii="仿宋_GB2312" w:hAnsi="宋体" w:eastAsia="仿宋_GB2312"/>
                <w:bCs/>
                <w:sz w:val="24"/>
                <w:szCs w:val="24"/>
              </w:rPr>
            </w:pPr>
            <w:r>
              <w:rPr>
                <w:rFonts w:hint="eastAsia" w:ascii="仿宋_GB2312" w:hAnsi="宋体" w:eastAsia="仿宋_GB2312"/>
                <w:bCs/>
                <w:sz w:val="24"/>
                <w:szCs w:val="24"/>
              </w:rPr>
              <w:t>（6分）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投标人 201</w:t>
            </w:r>
            <w:r>
              <w:rPr>
                <w:rFonts w:hint="eastAsia" w:ascii="仿宋_GB2312" w:hAnsi="宋体" w:eastAsia="仿宋_GB2312"/>
                <w:bCs/>
                <w:sz w:val="24"/>
                <w:szCs w:val="24"/>
                <w:lang w:val="en-US" w:eastAsia="zh-CN"/>
              </w:rPr>
              <w:t>8</w:t>
            </w:r>
            <w:r>
              <w:rPr>
                <w:rFonts w:hint="eastAsia" w:ascii="仿宋_GB2312" w:hAnsi="宋体" w:eastAsia="仿宋_GB2312"/>
                <w:bCs/>
                <w:sz w:val="24"/>
                <w:szCs w:val="24"/>
              </w:rPr>
              <w:t xml:space="preserve"> 年 1 月 1 日后签订的同类项目业绩，合同金额100 万元及以上，每提供一份得2分，最高得6分（业绩证明需提供合同及竣工验收证明原件，二者缺一不可，否则不得分）。 </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096" w:type="dxa"/>
            <w:tcBorders>
              <w:bottom w:val="single" w:color="auto" w:sz="4" w:space="0"/>
            </w:tcBorders>
            <w:vAlign w:val="center"/>
          </w:tcPr>
          <w:p>
            <w:pPr>
              <w:widowControl/>
              <w:adjustRightInd w:val="0"/>
              <w:snapToGrid w:val="0"/>
              <w:spacing w:line="400" w:lineRule="exact"/>
              <w:ind w:right="-50" w:rightChars="-24" w:firstLine="290" w:firstLineChars="121"/>
              <w:jc w:val="center"/>
              <w:rPr>
                <w:rFonts w:hint="eastAsia" w:ascii="仿宋_GB2312" w:hAnsi="宋体" w:eastAsia="仿宋_GB2312"/>
                <w:bCs/>
                <w:sz w:val="24"/>
                <w:szCs w:val="24"/>
              </w:rPr>
            </w:pPr>
            <w:r>
              <w:rPr>
                <w:rFonts w:hint="eastAsia" w:ascii="仿宋_GB2312" w:hAnsi="宋体" w:eastAsia="仿宋_GB2312"/>
                <w:bCs/>
                <w:sz w:val="24"/>
                <w:szCs w:val="24"/>
              </w:rPr>
              <w:t>质保期</w:t>
            </w:r>
          </w:p>
          <w:p>
            <w:pPr>
              <w:widowControl/>
              <w:adjustRightInd w:val="0"/>
              <w:snapToGrid w:val="0"/>
              <w:spacing w:line="400" w:lineRule="exact"/>
              <w:ind w:right="-50" w:rightChars="-24" w:firstLine="290" w:firstLineChars="121"/>
              <w:jc w:val="center"/>
              <w:rPr>
                <w:rFonts w:hint="eastAsia" w:ascii="仿宋_GB2312" w:hAnsi="宋体" w:eastAsia="仿宋_GB2312"/>
                <w:bCs/>
                <w:sz w:val="24"/>
                <w:szCs w:val="24"/>
              </w:rPr>
            </w:pPr>
            <w:r>
              <w:rPr>
                <w:rFonts w:hint="eastAsia" w:ascii="仿宋_GB2312" w:hAnsi="宋体" w:eastAsia="仿宋_GB2312"/>
                <w:bCs/>
                <w:sz w:val="24"/>
                <w:szCs w:val="24"/>
              </w:rPr>
              <w:t>（2分）</w:t>
            </w:r>
          </w:p>
        </w:tc>
        <w:tc>
          <w:tcPr>
            <w:tcW w:w="7047" w:type="dxa"/>
            <w:tcBorders>
              <w:bottom w:val="single" w:color="auto" w:sz="4" w:space="0"/>
            </w:tcBorders>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在满足磋商文件的基础上质保期每延长1年加1分，最高得2分。</w:t>
            </w:r>
          </w:p>
        </w:tc>
        <w:tc>
          <w:tcPr>
            <w:tcW w:w="802" w:type="dxa"/>
            <w:tcBorders>
              <w:bottom w:val="single" w:color="auto" w:sz="4" w:space="0"/>
            </w:tcBorders>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资信及履约能力</w:t>
            </w:r>
          </w:p>
          <w:p>
            <w:pPr>
              <w:widowControl/>
              <w:adjustRightInd w:val="0"/>
              <w:snapToGrid w:val="0"/>
              <w:spacing w:line="400" w:lineRule="exact"/>
              <w:ind w:left="480" w:right="-50" w:rightChars="-24" w:hanging="480" w:hangingChars="200"/>
              <w:jc w:val="center"/>
              <w:rPr>
                <w:rFonts w:ascii="仿宋_GB2312" w:hAnsi="宋体" w:eastAsia="仿宋_GB2312"/>
                <w:sz w:val="24"/>
                <w:szCs w:val="24"/>
              </w:rPr>
            </w:pPr>
            <w:r>
              <w:rPr>
                <w:rFonts w:hint="eastAsia" w:ascii="仿宋_GB2312" w:hAnsi="宋体" w:eastAsia="仿宋_GB2312"/>
                <w:sz w:val="24"/>
                <w:szCs w:val="24"/>
              </w:rPr>
              <w:t>（5分）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0" w:right="-50" w:rightChars="-24" w:hanging="480" w:hangingChars="200"/>
              <w:jc w:val="left"/>
              <w:rPr>
                <w:rFonts w:hint="eastAsia" w:ascii="仿宋_GB2312" w:hAnsi="宋体" w:eastAsia="仿宋_GB2312"/>
                <w:sz w:val="24"/>
                <w:szCs w:val="24"/>
              </w:rPr>
            </w:pPr>
            <w:r>
              <w:rPr>
                <w:rFonts w:hint="eastAsia" w:ascii="仿宋_GB2312" w:hAnsi="宋体" w:eastAsia="仿宋_GB2312"/>
                <w:sz w:val="24"/>
                <w:szCs w:val="24"/>
              </w:rPr>
              <w:t>综合考虑投标人财务状况、资信情况、同类工程质量</w:t>
            </w:r>
            <w:r>
              <w:rPr>
                <w:rFonts w:ascii="仿宋_GB2312" w:hAnsi="宋体" w:eastAsia="仿宋_GB2312"/>
                <w:sz w:val="24"/>
                <w:szCs w:val="24"/>
              </w:rPr>
              <w:t>/</w:t>
            </w:r>
            <w:r>
              <w:rPr>
                <w:rFonts w:hint="eastAsia" w:ascii="仿宋_GB2312" w:hAnsi="宋体" w:eastAsia="仿宋_GB2312"/>
                <w:sz w:val="24"/>
                <w:szCs w:val="24"/>
              </w:rPr>
              <w:t>产品供货履</w:t>
            </w:r>
          </w:p>
          <w:p>
            <w:pPr>
              <w:widowControl/>
              <w:autoSpaceDE w:val="0"/>
              <w:autoSpaceDN w:val="0"/>
              <w:adjustRightInd w:val="0"/>
              <w:snapToGrid w:val="0"/>
              <w:spacing w:line="400" w:lineRule="exact"/>
              <w:ind w:left="480" w:right="-50" w:rightChars="-24" w:hanging="480" w:hangingChars="200"/>
              <w:jc w:val="left"/>
              <w:rPr>
                <w:rFonts w:ascii="仿宋_GB2312" w:hAnsi="宋体" w:eastAsia="仿宋_GB2312"/>
                <w:sz w:val="24"/>
                <w:szCs w:val="24"/>
              </w:rPr>
            </w:pPr>
            <w:r>
              <w:rPr>
                <w:rFonts w:hint="eastAsia" w:ascii="仿宋_GB2312" w:hAnsi="宋体" w:eastAsia="仿宋_GB2312"/>
                <w:sz w:val="24"/>
                <w:szCs w:val="24"/>
              </w:rPr>
              <w:t>约能力等方面的情况，得1-5分。</w:t>
            </w:r>
          </w:p>
        </w:tc>
        <w:tc>
          <w:tcPr>
            <w:tcW w:w="802" w:type="dxa"/>
            <w:tcBorders>
              <w:top w:val="single" w:color="auto" w:sz="4" w:space="0"/>
              <w:left w:val="single" w:color="auto" w:sz="4" w:space="0"/>
              <w:bottom w:val="single" w:color="auto" w:sz="4" w:space="0"/>
            </w:tcBorders>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b/>
                <w:sz w:val="24"/>
                <w:szCs w:val="24"/>
              </w:rPr>
              <w:t>5分</w:t>
            </w:r>
          </w:p>
          <w:p>
            <w:pPr>
              <w:adjustRightInd w:val="0"/>
              <w:snapToGrid w:val="0"/>
              <w:spacing w:line="400" w:lineRule="exact"/>
              <w:ind w:right="-50" w:rightChars="-24"/>
              <w:jc w:val="center"/>
              <w:rPr>
                <w:rFonts w:hint="eastAsia" w:ascii="仿宋_GB2312" w:hAnsi="仿宋"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left"/>
              <w:rPr>
                <w:rFonts w:hint="eastAsia" w:ascii="仿宋_GB2312" w:hAnsi="宋体" w:eastAsia="仿宋_GB2312"/>
                <w:sz w:val="24"/>
                <w:szCs w:val="24"/>
              </w:rPr>
            </w:pPr>
            <w:r>
              <w:rPr>
                <w:rFonts w:hint="eastAsia" w:ascii="仿宋_GB2312" w:hAnsi="宋体" w:eastAsia="仿宋_GB2312"/>
                <w:sz w:val="24"/>
                <w:szCs w:val="24"/>
              </w:rPr>
              <w:t>主材质量、品牌</w:t>
            </w:r>
          </w:p>
          <w:p>
            <w:pPr>
              <w:widowControl/>
              <w:adjustRightInd w:val="0"/>
              <w:snapToGrid w:val="0"/>
              <w:spacing w:line="400" w:lineRule="exact"/>
              <w:ind w:left="480" w:right="-50" w:rightChars="-24" w:hanging="480" w:hangingChars="200"/>
              <w:jc w:val="center"/>
              <w:rPr>
                <w:rFonts w:ascii="仿宋_GB2312" w:hAnsi="宋体" w:eastAsia="仿宋_GB2312"/>
                <w:sz w:val="24"/>
                <w:szCs w:val="24"/>
              </w:rPr>
            </w:pPr>
            <w:r>
              <w:rPr>
                <w:rFonts w:hint="eastAsia" w:ascii="仿宋_GB2312" w:hAnsi="宋体" w:eastAsia="仿宋_GB2312"/>
                <w:sz w:val="24"/>
                <w:szCs w:val="24"/>
              </w:rPr>
              <w:t>（8分）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rPr>
                <w:rFonts w:ascii="仿宋_GB2312" w:hAnsi="宋体" w:eastAsia="仿宋_GB2312"/>
                <w:sz w:val="24"/>
                <w:szCs w:val="24"/>
              </w:rPr>
            </w:pPr>
            <w:r>
              <w:rPr>
                <w:rFonts w:hint="eastAsia" w:ascii="仿宋_GB2312" w:hAnsi="宋体" w:eastAsia="仿宋_GB2312"/>
                <w:sz w:val="24"/>
                <w:szCs w:val="24"/>
              </w:rPr>
              <w:t>依据所投主材料质量、品牌、环保性能等，得1-8分。</w:t>
            </w:r>
          </w:p>
        </w:tc>
        <w:tc>
          <w:tcPr>
            <w:tcW w:w="802" w:type="dxa"/>
            <w:tcBorders>
              <w:top w:val="single" w:color="auto" w:sz="4" w:space="0"/>
              <w:left w:val="single" w:color="auto" w:sz="4" w:space="0"/>
              <w:bottom w:val="single" w:color="auto" w:sz="4" w:space="0"/>
            </w:tcBorders>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09" w:hRule="atLeast"/>
          <w:jc w:val="center"/>
        </w:trPr>
        <w:tc>
          <w:tcPr>
            <w:tcW w:w="2096" w:type="dxa"/>
            <w:tcBorders>
              <w:top w:val="single" w:color="auto" w:sz="4" w:space="0"/>
            </w:tcBorders>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施工方案</w:t>
            </w:r>
          </w:p>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（26分）</w:t>
            </w:r>
          </w:p>
        </w:tc>
        <w:tc>
          <w:tcPr>
            <w:tcW w:w="7047" w:type="dxa"/>
            <w:tcBorders>
              <w:top w:val="single" w:color="auto" w:sz="4" w:space="0"/>
            </w:tcBorders>
            <w:vAlign w:val="center"/>
          </w:tcPr>
          <w:p>
            <w:pPr>
              <w:ind w:left="480" w:hanging="480" w:hangingChars="200"/>
              <w:rPr>
                <w:rFonts w:hint="eastAsia" w:ascii="仿宋_GB2312" w:hAnsi="宋体" w:eastAsia="仿宋_GB2312"/>
                <w:sz w:val="24"/>
                <w:szCs w:val="24"/>
              </w:rPr>
            </w:pPr>
            <w:r>
              <w:rPr>
                <w:rFonts w:hint="eastAsia" w:ascii="仿宋_GB2312" w:hAnsi="宋体" w:eastAsia="仿宋_GB2312"/>
                <w:sz w:val="24"/>
                <w:szCs w:val="24"/>
              </w:rPr>
              <w:t>依据投标人施工组织设计及技术措施的完整性、合理性、先进性</w:t>
            </w:r>
          </w:p>
          <w:p>
            <w:pPr>
              <w:ind w:left="480" w:hanging="480" w:hangingChars="200"/>
              <w:rPr>
                <w:rFonts w:hint="eastAsia" w:ascii="仿宋_GB2312" w:hAnsi="宋体" w:eastAsia="仿宋_GB2312"/>
                <w:sz w:val="24"/>
                <w:szCs w:val="24"/>
              </w:rPr>
            </w:pPr>
            <w:r>
              <w:rPr>
                <w:rFonts w:hint="eastAsia" w:ascii="仿宋_GB2312" w:hAnsi="宋体" w:eastAsia="仿宋_GB2312"/>
                <w:sz w:val="24"/>
                <w:szCs w:val="24"/>
              </w:rPr>
              <w:t>及对本工程的针对性的强弱程度和技术措施的得力情况，酌情打</w:t>
            </w:r>
          </w:p>
          <w:p>
            <w:pPr>
              <w:ind w:left="480" w:hanging="480" w:hangingChars="200"/>
              <w:rPr>
                <w:rFonts w:ascii="仿宋_GB2312" w:hAnsi="宋体" w:eastAsia="仿宋_GB2312"/>
                <w:sz w:val="24"/>
                <w:szCs w:val="24"/>
              </w:rPr>
            </w:pPr>
            <w:r>
              <w:rPr>
                <w:rFonts w:hint="eastAsia" w:ascii="仿宋_GB2312" w:hAnsi="宋体" w:eastAsia="仿宋_GB2312"/>
                <w:sz w:val="24"/>
                <w:szCs w:val="24"/>
              </w:rPr>
              <w:t>分。优：20-26分、良11-20分、一般3-10分。</w:t>
            </w:r>
          </w:p>
        </w:tc>
        <w:tc>
          <w:tcPr>
            <w:tcW w:w="802" w:type="dxa"/>
            <w:tcBorders>
              <w:top w:val="single" w:color="auto" w:sz="4" w:space="0"/>
            </w:tcBorders>
            <w:vAlign w:val="center"/>
          </w:tcPr>
          <w:p>
            <w:pPr>
              <w:widowControl/>
              <w:adjustRightInd w:val="0"/>
              <w:snapToGrid w:val="0"/>
              <w:spacing w:line="400" w:lineRule="exact"/>
              <w:ind w:right="-50" w:rightChars="-24"/>
              <w:jc w:val="center"/>
              <w:rPr>
                <w:rFonts w:hint="eastAsia" w:ascii="仿宋_GB2312" w:hAnsi="仿宋" w:eastAsia="仿宋_GB2312"/>
                <w:b/>
                <w:sz w:val="24"/>
                <w:szCs w:val="24"/>
              </w:rPr>
            </w:pPr>
            <w:r>
              <w:rPr>
                <w:rFonts w:hint="eastAsia" w:ascii="仿宋_GB2312" w:hAnsi="仿宋" w:eastAsia="仿宋_GB2312"/>
                <w:b/>
                <w:sz w:val="24"/>
                <w:szCs w:val="24"/>
              </w:rPr>
              <w:t>26分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bCs/>
                <w:sz w:val="24"/>
                <w:szCs w:val="24"/>
              </w:rPr>
            </w:pPr>
            <w:r>
              <w:rPr>
                <w:rFonts w:hint="eastAsia" w:ascii="仿宋_GB2312" w:hAnsi="宋体" w:eastAsia="仿宋_GB2312"/>
                <w:sz w:val="24"/>
                <w:szCs w:val="24"/>
              </w:rPr>
              <w:t>工程质量保证措施</w:t>
            </w:r>
            <w:r>
              <w:rPr>
                <w:rFonts w:hint="eastAsia" w:ascii="仿宋_GB2312" w:hAnsi="宋体" w:eastAsia="仿宋_GB2312"/>
                <w:bCs/>
                <w:sz w:val="24"/>
                <w:szCs w:val="24"/>
              </w:rPr>
              <w:t>（5分）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依据投标人为确保工程质量目标，所采取的质量管理措施的科学性、可靠性、完备性、针对性和可实施性，酌情打分。优：4-5分、良2-3分，一般1-2分。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工程进度保证措施</w:t>
            </w:r>
          </w:p>
          <w:p>
            <w:pPr>
              <w:widowControl/>
              <w:adjustRightInd w:val="0"/>
              <w:snapToGrid w:val="0"/>
              <w:spacing w:line="400" w:lineRule="exact"/>
              <w:ind w:left="420" w:leftChars="200" w:right="-50" w:rightChars="-24" w:firstLine="120" w:firstLineChars="50"/>
              <w:jc w:val="center"/>
              <w:rPr>
                <w:rFonts w:hint="eastAsia" w:ascii="仿宋_GB2312" w:hAnsi="宋体" w:eastAsia="仿宋_GB2312"/>
                <w:sz w:val="24"/>
                <w:szCs w:val="24"/>
              </w:rPr>
            </w:pPr>
            <w:r>
              <w:rPr>
                <w:rFonts w:hint="eastAsia" w:ascii="仿宋_GB2312" w:hAnsi="宋体" w:eastAsia="仿宋_GB2312"/>
                <w:sz w:val="24"/>
                <w:szCs w:val="24"/>
              </w:rPr>
              <w:t>（5分）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依据投标人为确保本工程按时竣工，所采取的工程组织管理措施的科学性、可靠性、完备性、针对性和可实施性，酌情打分。优：4-5分、良2-3分，一般1-2分。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bCs/>
                <w:sz w:val="24"/>
                <w:szCs w:val="24"/>
              </w:rPr>
              <w:t>安全文明施工措施（5分）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根据投标人为确保本工程安全施工和文明施工，不影响正常医疗秩序，所采取的管理措施的科学性、可靠性、完备性、针对性和可实施性，酌情打分。优： 4-5 分，良:2-3 分，一般: 1-2 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bookmarkStart w:id="9" w:name="OLE_LINK30"/>
            <w:bookmarkStart w:id="10" w:name="OLE_LINK31"/>
            <w:r>
              <w:rPr>
                <w:rFonts w:hint="eastAsia" w:ascii="仿宋_GB2312" w:hAnsi="宋体" w:eastAsia="仿宋_GB2312"/>
                <w:sz w:val="24"/>
                <w:szCs w:val="24"/>
              </w:rPr>
              <w:t>优惠条件合理化建议（2分）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投标人对承建本工程的有利条件说明及有关优惠条件（0-1 分）、合理化建议（0-1 分）（价格因素除外）酌情打分。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2分</w:t>
            </w:r>
          </w:p>
        </w:tc>
      </w:tr>
      <w:bookmarkEnd w:id="9"/>
      <w:bookmarkEnd w:id="1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售后服务（3分）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依据投标人为确保本工程售后服务的可靠性、完备性、针对性和可实施性，得0-3分。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其他（3分）</w:t>
            </w:r>
          </w:p>
        </w:tc>
        <w:tc>
          <w:tcPr>
            <w:tcW w:w="7047" w:type="dxa"/>
            <w:vAlign w:val="center"/>
          </w:tcPr>
          <w:p>
            <w:pPr>
              <w:spacing w:line="360" w:lineRule="exact"/>
              <w:rPr>
                <w:rFonts w:hint="eastAsia" w:ascii="仿宋_GB2312" w:hAnsi="宋体" w:eastAsia="仿宋_GB2312"/>
                <w:bCs/>
                <w:sz w:val="24"/>
                <w:szCs w:val="24"/>
              </w:rPr>
            </w:pPr>
            <w:r>
              <w:rPr>
                <w:rFonts w:hint="eastAsia" w:ascii="仿宋_GB2312" w:hAnsi="宋体" w:eastAsia="仿宋_GB2312"/>
                <w:bCs/>
                <w:sz w:val="24"/>
                <w:szCs w:val="24"/>
              </w:rPr>
              <w:t>根据以下内容进行比较评价：标书制作规范，内容完整，文字清晰，标书中对技术部分的描述准确，询标答疑过程对评委提出需澄清确认的问题答复完整、准确得 1-3 分。</w:t>
            </w: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hint="eastAsia" w:ascii="仿宋_GB2312" w:hAnsi="宋体" w:eastAsia="仿宋_GB2312"/>
                <w:sz w:val="24"/>
                <w:szCs w:val="24"/>
              </w:rPr>
            </w:pPr>
            <w:r>
              <w:rPr>
                <w:rFonts w:hint="eastAsia" w:ascii="仿宋_GB2312" w:hAnsi="宋体" w:eastAsia="仿宋_GB2312"/>
                <w:sz w:val="24"/>
                <w:szCs w:val="24"/>
              </w:rPr>
              <w:t>合计</w:t>
            </w:r>
          </w:p>
        </w:tc>
        <w:tc>
          <w:tcPr>
            <w:tcW w:w="7047" w:type="dxa"/>
            <w:vAlign w:val="center"/>
          </w:tcPr>
          <w:p>
            <w:pPr>
              <w:spacing w:line="360" w:lineRule="exact"/>
              <w:rPr>
                <w:rFonts w:hint="eastAsia" w:ascii="仿宋_GB2312" w:hAnsi="宋体" w:eastAsia="仿宋_GB2312"/>
                <w:bCs/>
                <w:sz w:val="24"/>
                <w:szCs w:val="24"/>
              </w:rPr>
            </w:pPr>
          </w:p>
        </w:tc>
        <w:tc>
          <w:tcPr>
            <w:tcW w:w="802" w:type="dxa"/>
            <w:vAlign w:val="center"/>
          </w:tcPr>
          <w:p>
            <w:pPr>
              <w:widowControl/>
              <w:adjustRightInd w:val="0"/>
              <w:snapToGrid w:val="0"/>
              <w:spacing w:line="400" w:lineRule="exact"/>
              <w:ind w:right="-50" w:rightChars="-24"/>
              <w:jc w:val="center"/>
              <w:rPr>
                <w:rFonts w:hint="eastAsia" w:ascii="仿宋_GB2312" w:hAnsi="仿宋" w:eastAsia="仿宋_GB2312" w:cs="宋体"/>
                <w:b/>
                <w:bCs/>
                <w:kern w:val="0"/>
                <w:sz w:val="24"/>
                <w:szCs w:val="24"/>
              </w:rPr>
            </w:pPr>
            <w:r>
              <w:rPr>
                <w:rFonts w:hint="eastAsia" w:ascii="仿宋_GB2312" w:hAnsi="仿宋" w:eastAsia="仿宋_GB2312" w:cs="宋体"/>
                <w:b/>
                <w:bCs/>
                <w:kern w:val="0"/>
                <w:sz w:val="24"/>
                <w:szCs w:val="24"/>
              </w:rPr>
              <w:t>100分</w:t>
            </w:r>
          </w:p>
        </w:tc>
      </w:tr>
      <w:bookmarkEnd w:id="2"/>
      <w:bookmarkEnd w:id="3"/>
      <w:bookmarkEnd w:id="4"/>
      <w:bookmarkEnd w:id="5"/>
      <w:bookmarkEnd w:id="6"/>
      <w:bookmarkEnd w:id="7"/>
      <w:bookmarkEnd w:id="8"/>
    </w:tbl>
    <w:p>
      <w:pPr>
        <w:jc w:val="both"/>
        <w:rPr>
          <w:rFonts w:hint="eastAsia"/>
          <w:b/>
          <w:sz w:val="28"/>
          <w:szCs w:val="28"/>
        </w:rPr>
      </w:pPr>
    </w:p>
    <w:p>
      <w:pPr>
        <w:jc w:val="both"/>
        <w:rPr>
          <w:rFonts w:hint="eastAsia"/>
          <w:b/>
          <w:sz w:val="28"/>
          <w:szCs w:val="28"/>
        </w:rPr>
      </w:pPr>
    </w:p>
    <w:p>
      <w:pPr>
        <w:jc w:val="both"/>
        <w:rPr>
          <w:rFonts w:hint="eastAsia"/>
          <w:b/>
          <w:sz w:val="28"/>
          <w:szCs w:val="28"/>
        </w:rPr>
      </w:pPr>
      <w:bookmarkStart w:id="11" w:name="_GoBack"/>
      <w:bookmarkEnd w:id="11"/>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（2018年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iti SC Light">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13F859"/>
    <w:multiLevelType w:val="singleLevel"/>
    <w:tmpl w:val="CB13F859"/>
    <w:lvl w:ilvl="0" w:tentative="0">
      <w:start w:val="3"/>
      <w:numFmt w:val="chineseCounting"/>
      <w:suff w:val="nothing"/>
      <w:lvlText w:val="%1、"/>
      <w:lvlJc w:val="left"/>
      <w:pPr>
        <w:ind w:left="300" w:leftChars="0" w:firstLine="0" w:firstLineChars="0"/>
      </w:pPr>
      <w:rPr>
        <w:rFonts w:hint="eastAsia"/>
      </w:r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8007594"/>
    <w:rsid w:val="096862C8"/>
    <w:rsid w:val="099E1671"/>
    <w:rsid w:val="09D252B4"/>
    <w:rsid w:val="0F55586F"/>
    <w:rsid w:val="0FB80460"/>
    <w:rsid w:val="12FD16FD"/>
    <w:rsid w:val="191E18A8"/>
    <w:rsid w:val="1CA74248"/>
    <w:rsid w:val="1ED12DC7"/>
    <w:rsid w:val="1F7B525B"/>
    <w:rsid w:val="27F36A5B"/>
    <w:rsid w:val="2B592D42"/>
    <w:rsid w:val="30862769"/>
    <w:rsid w:val="30ED6026"/>
    <w:rsid w:val="3E294764"/>
    <w:rsid w:val="41795C12"/>
    <w:rsid w:val="434752D4"/>
    <w:rsid w:val="450F39F2"/>
    <w:rsid w:val="454A6B34"/>
    <w:rsid w:val="455627B7"/>
    <w:rsid w:val="473E600E"/>
    <w:rsid w:val="474655B0"/>
    <w:rsid w:val="489D396D"/>
    <w:rsid w:val="4BDB1355"/>
    <w:rsid w:val="50901E9F"/>
    <w:rsid w:val="572E0F59"/>
    <w:rsid w:val="57C750E8"/>
    <w:rsid w:val="598343A6"/>
    <w:rsid w:val="5AC16BF7"/>
    <w:rsid w:val="602F1439"/>
    <w:rsid w:val="670F0E44"/>
    <w:rsid w:val="67A369D6"/>
    <w:rsid w:val="683E490D"/>
    <w:rsid w:val="699F14B4"/>
    <w:rsid w:val="6B7C41CF"/>
    <w:rsid w:val="6C4760FC"/>
    <w:rsid w:val="6CA170BA"/>
    <w:rsid w:val="6D95366F"/>
    <w:rsid w:val="6E6A35B9"/>
    <w:rsid w:val="6F7720BF"/>
    <w:rsid w:val="72F86B65"/>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 w:type="character" w:customStyle="1" w:styleId="18">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1</TotalTime>
  <ScaleCrop>false</ScaleCrop>
  <LinksUpToDate>false</LinksUpToDate>
  <CharactersWithSpaces>7298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2021-07-02T09:20:52Z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B17A530588414CEF9998CB308EC40D01</vt:lpwstr>
  </property>
</Properties>
</file>