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山东第一医科大学附属青岛眼科医院净化设施维保项目竞争性磋商文件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bookmarkStart w:id="0" w:name="OLE_LINK36"/>
      <w:bookmarkStart w:id="1" w:name="OLE_LINK35"/>
      <w:r>
        <w:rPr>
          <w:rFonts w:hint="eastAsia"/>
          <w:color w:val="000000" w:themeColor="text1"/>
          <w:sz w:val="28"/>
          <w:szCs w:val="28"/>
          <w14:textFill>
            <w14:solidFill>
              <w14:schemeClr w14:val="tx1"/>
            </w14:solidFill>
          </w14:textFill>
        </w:rPr>
        <w:t>1、在中国境内注册、具有能够独立承担民事责任的企业，具有合法有效的营业执照</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且</w:t>
      </w:r>
      <w:r>
        <w:rPr>
          <w:rFonts w:hint="eastAsia"/>
          <w:b/>
          <w:bCs/>
          <w:color w:val="000000" w:themeColor="text1"/>
          <w:sz w:val="28"/>
          <w:szCs w:val="28"/>
          <w:lang w:val="en-US" w:eastAsia="zh-CN"/>
          <w14:textFill>
            <w14:solidFill>
              <w14:schemeClr w14:val="tx1"/>
            </w14:solidFill>
          </w14:textFill>
        </w:rPr>
        <w:t>经营范围包含净化系统工程维修</w:t>
      </w:r>
      <w:r>
        <w:rPr>
          <w:rFonts w:hint="eastAsia"/>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2、提供的资格、资质证明文件真实有效；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3、具有履行合同所必需的人员、设备和专业技术能力；</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4、有依法缴纳税收和社会保障资金的良好记录；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5、参加本次招标活动前三年内，在经营活动中没有重大违法记录；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6、单位负责人为同一人或者存在直接控股、管理关系的不同供应商，不得参加同一合同项下的招标采购活动。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7、符合《中华人民共和国政府采购法》第二十二条规定；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8、遵守《中华人民共和国政府采购法》和《中华人民共和国政府采购法实施条例》及其他相关法律、法规和规章；</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9、具有良好的商业信誉和健全的财务会计制度；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10、符合磋商文件中规定的其他实质性要求；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color w:val="FF0000"/>
          <w:sz w:val="28"/>
          <w:szCs w:val="28"/>
        </w:rPr>
      </w:pPr>
      <w:r>
        <w:rPr>
          <w:rFonts w:hint="eastAsia" w:ascii="宋体" w:hAnsi="宋体" w:eastAsia="宋体"/>
          <w:b/>
          <w:color w:val="FF0000"/>
          <w:sz w:val="28"/>
          <w:szCs w:val="28"/>
        </w:rPr>
        <w:t>*</w:t>
      </w:r>
      <w:r>
        <w:rPr>
          <w:rFonts w:hint="eastAsia"/>
          <w:b/>
          <w:color w:val="FF0000"/>
          <w:sz w:val="28"/>
          <w:szCs w:val="28"/>
        </w:rPr>
        <w:t>1.3 报价文件（详见附件）</w:t>
      </w:r>
    </w:p>
    <w:p>
      <w:pPr>
        <w:spacing w:line="360" w:lineRule="auto"/>
        <w:ind w:firstLine="560" w:firstLineChars="200"/>
        <w:rPr>
          <w:color w:val="FF0000"/>
          <w:sz w:val="28"/>
          <w:szCs w:val="28"/>
        </w:rPr>
      </w:pPr>
      <w:r>
        <w:rPr>
          <w:rFonts w:hint="eastAsia"/>
          <w:color w:val="FF0000"/>
          <w:sz w:val="28"/>
          <w:szCs w:val="28"/>
        </w:rPr>
        <w:t>1.3.1 报价一览表</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2</w:t>
      </w:r>
      <w:r>
        <w:rPr>
          <w:rFonts w:hint="eastAsia"/>
          <w:sz w:val="28"/>
          <w:szCs w:val="28"/>
        </w:rPr>
        <w:t>售后服务内容及响应措施；</w:t>
      </w:r>
    </w:p>
    <w:p>
      <w:pPr>
        <w:spacing w:line="360" w:lineRule="auto"/>
        <w:ind w:firstLine="562" w:firstLineChars="200"/>
        <w:rPr>
          <w:b/>
          <w:sz w:val="28"/>
          <w:szCs w:val="28"/>
        </w:rPr>
      </w:pPr>
      <w:r>
        <w:rPr>
          <w:rFonts w:hint="eastAsia"/>
          <w:b/>
          <w:sz w:val="28"/>
          <w:szCs w:val="28"/>
        </w:rPr>
        <w:t>1.4.</w:t>
      </w:r>
      <w:r>
        <w:rPr>
          <w:rFonts w:hint="eastAsia"/>
          <w:b/>
          <w:sz w:val="28"/>
          <w:szCs w:val="28"/>
          <w:lang w:val="en-US" w:eastAsia="zh-CN"/>
        </w:rPr>
        <w:t>3</w:t>
      </w:r>
      <w:r>
        <w:rPr>
          <w:rFonts w:hint="eastAsia"/>
          <w:b/>
          <w:sz w:val="28"/>
          <w:szCs w:val="28"/>
        </w:rPr>
        <w:t>近</w:t>
      </w:r>
      <w:r>
        <w:rPr>
          <w:rFonts w:hint="eastAsia"/>
          <w:b/>
          <w:sz w:val="28"/>
          <w:szCs w:val="28"/>
          <w:lang w:val="en-US" w:eastAsia="zh-CN"/>
        </w:rPr>
        <w:t>两</w:t>
      </w:r>
      <w:r>
        <w:rPr>
          <w:rFonts w:hint="eastAsia"/>
          <w:b/>
          <w:sz w:val="28"/>
          <w:szCs w:val="28"/>
        </w:rPr>
        <w:t>年（201</w:t>
      </w:r>
      <w:r>
        <w:rPr>
          <w:rFonts w:hint="eastAsia"/>
          <w:b/>
          <w:sz w:val="28"/>
          <w:szCs w:val="28"/>
          <w:lang w:val="en-US" w:eastAsia="zh-CN"/>
        </w:rPr>
        <w:t>9</w:t>
      </w:r>
      <w:r>
        <w:rPr>
          <w:rFonts w:hint="eastAsia"/>
          <w:b/>
          <w:sz w:val="28"/>
          <w:szCs w:val="28"/>
        </w:rPr>
        <w:t>年</w:t>
      </w:r>
      <w:r>
        <w:rPr>
          <w:rFonts w:hint="eastAsia"/>
          <w:b/>
          <w:sz w:val="28"/>
          <w:szCs w:val="28"/>
          <w:lang w:val="en-US" w:eastAsia="zh-CN"/>
        </w:rPr>
        <w:t>5月1日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4</w:t>
      </w:r>
      <w:r>
        <w:rPr>
          <w:rFonts w:hint="eastAsia"/>
          <w:sz w:val="28"/>
          <w:szCs w:val="28"/>
        </w:rPr>
        <w:t>供应商认为需要提交的其他资料。</w:t>
      </w:r>
    </w:p>
    <w:p>
      <w:pPr>
        <w:spacing w:line="400" w:lineRule="exact"/>
        <w:ind w:firstLine="562" w:firstLineChars="200"/>
        <w:rPr>
          <w:b/>
          <w:color w:val="auto"/>
          <w:sz w:val="28"/>
          <w:szCs w:val="28"/>
        </w:rPr>
      </w:pPr>
      <w:r>
        <w:rPr>
          <w:rFonts w:hint="eastAsia"/>
          <w:b/>
          <w:color w:val="auto"/>
          <w:sz w:val="28"/>
          <w:szCs w:val="28"/>
        </w:rPr>
        <w:t>1.5 技术文件</w:t>
      </w:r>
    </w:p>
    <w:p>
      <w:pPr>
        <w:spacing w:line="360" w:lineRule="auto"/>
        <w:ind w:firstLine="560" w:firstLineChars="200"/>
        <w:rPr>
          <w:color w:val="auto"/>
          <w:sz w:val="28"/>
          <w:szCs w:val="28"/>
        </w:rPr>
      </w:pPr>
      <w:r>
        <w:rPr>
          <w:rFonts w:hint="eastAsia"/>
          <w:color w:val="auto"/>
          <w:sz w:val="28"/>
          <w:szCs w:val="28"/>
        </w:rPr>
        <w:t>1.5.1</w:t>
      </w:r>
      <w:r>
        <w:rPr>
          <w:rFonts w:hint="eastAsia"/>
          <w:color w:val="auto"/>
          <w:sz w:val="28"/>
          <w:szCs w:val="28"/>
          <w:lang w:val="en-US" w:eastAsia="zh-CN"/>
        </w:rPr>
        <w:t>服务</w:t>
      </w:r>
      <w:r>
        <w:rPr>
          <w:rFonts w:hint="eastAsia"/>
          <w:color w:val="auto"/>
          <w:sz w:val="28"/>
          <w:szCs w:val="28"/>
        </w:rPr>
        <w:t>方案、技术说明、产品性能描述</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w:t>
      </w:r>
      <w:r>
        <w:rPr>
          <w:rFonts w:hint="eastAsia"/>
          <w:sz w:val="28"/>
          <w:szCs w:val="28"/>
          <w:lang w:val="en-US" w:eastAsia="zh-CN"/>
        </w:rPr>
        <w:t>有权</w:t>
      </w:r>
      <w:r>
        <w:rPr>
          <w:rFonts w:hint="eastAsia"/>
          <w:sz w:val="28"/>
          <w:szCs w:val="28"/>
        </w:rPr>
        <w:t>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color w:val="FF0000"/>
          <w:sz w:val="28"/>
          <w:szCs w:val="28"/>
        </w:rPr>
      </w:pPr>
      <w:r>
        <w:rPr>
          <w:rFonts w:hint="eastAsia"/>
          <w:color w:val="FF0000"/>
          <w:sz w:val="28"/>
          <w:szCs w:val="28"/>
        </w:rPr>
        <w:t>5.1报价应为供应商的响应文件中提出的各项支付金额的总和。</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2</w:t>
      </w:r>
      <w:r>
        <w:rPr>
          <w:rFonts w:hint="eastAsia"/>
          <w:sz w:val="28"/>
          <w:szCs w:val="28"/>
        </w:rPr>
        <w:t xml:space="preserve">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3</w:t>
      </w:r>
      <w:r>
        <w:rPr>
          <w:rFonts w:hint="eastAsia"/>
          <w:sz w:val="28"/>
          <w:szCs w:val="28"/>
        </w:rPr>
        <w:t xml:space="preserve">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spacing w:line="360" w:lineRule="auto"/>
        <w:ind w:firstLine="420" w:firstLineChars="0"/>
        <w:rPr>
          <w:rFonts w:hint="eastAsia"/>
          <w:sz w:val="28"/>
          <w:szCs w:val="28"/>
          <w:lang w:eastAsia="zh-CN"/>
        </w:rPr>
      </w:pPr>
      <w:bookmarkStart w:id="2" w:name="OLE_LINK20"/>
      <w:bookmarkStart w:id="3" w:name="OLE_LINK21"/>
      <w:bookmarkStart w:id="4" w:name="OLE_LINK16"/>
      <w:bookmarkStart w:id="5" w:name="OLE_LINK19"/>
      <w:bookmarkStart w:id="6" w:name="OLE_LINK18"/>
      <w:bookmarkStart w:id="7" w:name="OLE_LINK15"/>
      <w:bookmarkStart w:id="8" w:name="OLE_LINK17"/>
      <w:r>
        <w:rPr>
          <w:rFonts w:hint="eastAsia"/>
          <w:sz w:val="28"/>
          <w:szCs w:val="28"/>
        </w:rPr>
        <w:t>动物实验室净化系统、PRK手术室、三楼手术室（含洁净内外走廊、洁净办公区域、辅助用房）净化工程维保</w:t>
      </w:r>
      <w:r>
        <w:rPr>
          <w:rFonts w:hint="eastAsia"/>
          <w:sz w:val="28"/>
          <w:szCs w:val="28"/>
          <w:lang w:eastAsia="zh-CN"/>
        </w:rPr>
        <w:t>。</w:t>
      </w:r>
    </w:p>
    <w:p>
      <w:pPr>
        <w:spacing w:line="360" w:lineRule="auto"/>
        <w:ind w:firstLine="560" w:firstLineChars="200"/>
        <w:rPr>
          <w:sz w:val="28"/>
          <w:szCs w:val="28"/>
        </w:rPr>
      </w:pPr>
      <w:r>
        <w:rPr>
          <w:rFonts w:hint="eastAsia"/>
          <w:sz w:val="28"/>
          <w:szCs w:val="28"/>
        </w:rPr>
        <w:t>定期对自动门、控制面板、净化空调机组、加湿器、风冷模块机组循环水泵、</w:t>
      </w:r>
      <w:r>
        <w:rPr>
          <w:sz w:val="28"/>
          <w:szCs w:val="28"/>
        </w:rPr>
        <w:t>UPS</w:t>
      </w:r>
      <w:r>
        <w:rPr>
          <w:rFonts w:hint="eastAsia"/>
          <w:sz w:val="28"/>
          <w:szCs w:val="28"/>
        </w:rPr>
        <w:t>电源、医用气体管道及终端、器械柜、书写台、层流调正检测、第三方检测等，具体如下：</w:t>
      </w:r>
    </w:p>
    <w:p>
      <w:pPr>
        <w:spacing w:line="360" w:lineRule="auto"/>
        <w:ind w:firstLine="560" w:firstLineChars="200"/>
        <w:rPr>
          <w:sz w:val="28"/>
          <w:szCs w:val="28"/>
        </w:rPr>
      </w:pPr>
      <w:r>
        <w:rPr>
          <w:rFonts w:hint="eastAsia"/>
          <w:sz w:val="28"/>
          <w:szCs w:val="28"/>
        </w:rPr>
        <w:t>1、电极式加湿器检查（</w:t>
      </w:r>
      <w:r>
        <w:rPr>
          <w:sz w:val="28"/>
          <w:szCs w:val="28"/>
        </w:rPr>
        <w:t>1</w:t>
      </w:r>
      <w:r>
        <w:rPr>
          <w:rFonts w:hint="eastAsia"/>
          <w:sz w:val="28"/>
          <w:szCs w:val="28"/>
        </w:rPr>
        <w:t>个月检查一次）</w:t>
      </w:r>
    </w:p>
    <w:p>
      <w:pPr>
        <w:spacing w:line="360" w:lineRule="auto"/>
        <w:ind w:firstLine="560" w:firstLineChars="200"/>
        <w:rPr>
          <w:sz w:val="28"/>
          <w:szCs w:val="28"/>
        </w:rPr>
      </w:pPr>
      <w:r>
        <w:rPr>
          <w:rFonts w:hint="eastAsia"/>
          <w:sz w:val="28"/>
          <w:szCs w:val="28"/>
        </w:rPr>
        <w:t>2、风冷机检查（</w:t>
      </w:r>
      <w:r>
        <w:rPr>
          <w:sz w:val="28"/>
          <w:szCs w:val="28"/>
        </w:rPr>
        <w:t>1</w:t>
      </w:r>
      <w:r>
        <w:rPr>
          <w:rFonts w:hint="eastAsia"/>
          <w:sz w:val="28"/>
          <w:szCs w:val="28"/>
        </w:rPr>
        <w:t>个月检查一次）</w:t>
      </w:r>
    </w:p>
    <w:p>
      <w:pPr>
        <w:spacing w:line="360" w:lineRule="auto"/>
        <w:ind w:firstLine="560" w:firstLineChars="200"/>
        <w:rPr>
          <w:sz w:val="28"/>
          <w:szCs w:val="28"/>
        </w:rPr>
      </w:pPr>
      <w:r>
        <w:rPr>
          <w:rFonts w:hint="eastAsia"/>
          <w:sz w:val="28"/>
          <w:szCs w:val="28"/>
        </w:rPr>
        <w:t>3、风速风量、换气次数、洁净度检测（</w:t>
      </w:r>
      <w:r>
        <w:rPr>
          <w:sz w:val="28"/>
          <w:szCs w:val="28"/>
        </w:rPr>
        <w:t>6</w:t>
      </w:r>
      <w:r>
        <w:rPr>
          <w:rFonts w:hint="eastAsia"/>
          <w:sz w:val="28"/>
          <w:szCs w:val="28"/>
        </w:rPr>
        <w:t>个月检查一次）</w:t>
      </w:r>
    </w:p>
    <w:p>
      <w:pPr>
        <w:spacing w:line="360" w:lineRule="auto"/>
        <w:ind w:firstLine="560" w:firstLineChars="200"/>
        <w:rPr>
          <w:sz w:val="28"/>
          <w:szCs w:val="28"/>
        </w:rPr>
      </w:pPr>
      <w:r>
        <w:rPr>
          <w:rFonts w:hint="eastAsia"/>
          <w:sz w:val="28"/>
          <w:szCs w:val="28"/>
        </w:rPr>
        <w:t>4、压差测试（</w:t>
      </w:r>
      <w:r>
        <w:rPr>
          <w:sz w:val="28"/>
          <w:szCs w:val="28"/>
        </w:rPr>
        <w:t>1</w:t>
      </w:r>
      <w:r>
        <w:rPr>
          <w:rFonts w:hint="eastAsia"/>
          <w:sz w:val="28"/>
          <w:szCs w:val="28"/>
        </w:rPr>
        <w:t>周检查一次）</w:t>
      </w:r>
    </w:p>
    <w:p>
      <w:pPr>
        <w:spacing w:line="360" w:lineRule="auto"/>
        <w:ind w:firstLine="560" w:firstLineChars="200"/>
        <w:rPr>
          <w:sz w:val="28"/>
          <w:szCs w:val="28"/>
        </w:rPr>
      </w:pPr>
      <w:r>
        <w:rPr>
          <w:rFonts w:hint="eastAsia"/>
          <w:sz w:val="28"/>
          <w:szCs w:val="28"/>
        </w:rPr>
        <w:t>5、医用气体管道及终端、器械柜、书写台、观片箱周期（</w:t>
      </w:r>
      <w:r>
        <w:rPr>
          <w:sz w:val="28"/>
          <w:szCs w:val="28"/>
        </w:rPr>
        <w:t>1</w:t>
      </w:r>
      <w:r>
        <w:rPr>
          <w:rFonts w:hint="eastAsia"/>
          <w:sz w:val="28"/>
          <w:szCs w:val="28"/>
        </w:rPr>
        <w:t>个月检查一次）</w:t>
      </w:r>
    </w:p>
    <w:p>
      <w:pPr>
        <w:spacing w:line="360" w:lineRule="auto"/>
        <w:ind w:firstLine="560" w:firstLineChars="200"/>
        <w:rPr>
          <w:sz w:val="28"/>
          <w:szCs w:val="28"/>
        </w:rPr>
      </w:pPr>
      <w:r>
        <w:rPr>
          <w:rFonts w:hint="eastAsia"/>
          <w:sz w:val="28"/>
          <w:szCs w:val="28"/>
        </w:rPr>
        <w:t>6、手术室净化空调机组例行检查（</w:t>
      </w:r>
      <w:r>
        <w:rPr>
          <w:sz w:val="28"/>
          <w:szCs w:val="28"/>
        </w:rPr>
        <w:t>1</w:t>
      </w:r>
      <w:r>
        <w:rPr>
          <w:rFonts w:hint="eastAsia"/>
          <w:sz w:val="28"/>
          <w:szCs w:val="28"/>
        </w:rPr>
        <w:t>周检查一次）</w:t>
      </w:r>
    </w:p>
    <w:p>
      <w:pPr>
        <w:spacing w:line="360" w:lineRule="auto"/>
        <w:ind w:firstLine="560" w:firstLineChars="200"/>
        <w:rPr>
          <w:sz w:val="28"/>
          <w:szCs w:val="28"/>
        </w:rPr>
      </w:pPr>
      <w:r>
        <w:rPr>
          <w:rFonts w:hint="eastAsia"/>
          <w:sz w:val="28"/>
          <w:szCs w:val="28"/>
        </w:rPr>
        <w:t>7、手术室中央控制系统（</w:t>
      </w:r>
      <w:r>
        <w:rPr>
          <w:sz w:val="28"/>
          <w:szCs w:val="28"/>
        </w:rPr>
        <w:t>1</w:t>
      </w:r>
      <w:r>
        <w:rPr>
          <w:rFonts w:hint="eastAsia"/>
          <w:sz w:val="28"/>
          <w:szCs w:val="28"/>
        </w:rPr>
        <w:t>个月检查一次）</w:t>
      </w:r>
    </w:p>
    <w:p>
      <w:pPr>
        <w:spacing w:line="360" w:lineRule="auto"/>
        <w:ind w:firstLine="560" w:firstLineChars="200"/>
        <w:rPr>
          <w:sz w:val="28"/>
          <w:szCs w:val="28"/>
        </w:rPr>
      </w:pPr>
      <w:r>
        <w:rPr>
          <w:rFonts w:hint="eastAsia"/>
          <w:sz w:val="28"/>
          <w:szCs w:val="28"/>
        </w:rPr>
        <w:t>8、水泵的检查（</w:t>
      </w:r>
      <w:r>
        <w:rPr>
          <w:sz w:val="28"/>
          <w:szCs w:val="28"/>
        </w:rPr>
        <w:t>1</w:t>
      </w:r>
      <w:r>
        <w:rPr>
          <w:rFonts w:hint="eastAsia"/>
          <w:sz w:val="28"/>
          <w:szCs w:val="28"/>
        </w:rPr>
        <w:t>周检查一次）</w:t>
      </w:r>
    </w:p>
    <w:p>
      <w:pPr>
        <w:spacing w:line="360" w:lineRule="auto"/>
        <w:ind w:firstLine="560" w:firstLineChars="200"/>
        <w:rPr>
          <w:sz w:val="28"/>
          <w:szCs w:val="28"/>
        </w:rPr>
      </w:pPr>
      <w:r>
        <w:rPr>
          <w:rFonts w:hint="eastAsia"/>
          <w:sz w:val="28"/>
          <w:szCs w:val="28"/>
        </w:rPr>
        <w:t>9、循环空调机组（</w:t>
      </w:r>
      <w:r>
        <w:rPr>
          <w:sz w:val="28"/>
          <w:szCs w:val="28"/>
        </w:rPr>
        <w:t>1</w:t>
      </w:r>
      <w:r>
        <w:rPr>
          <w:rFonts w:hint="eastAsia"/>
          <w:sz w:val="28"/>
          <w:szCs w:val="28"/>
        </w:rPr>
        <w:t>周检查一次）</w:t>
      </w:r>
    </w:p>
    <w:p>
      <w:pPr>
        <w:spacing w:line="360" w:lineRule="auto"/>
        <w:ind w:firstLine="560" w:firstLineChars="200"/>
        <w:rPr>
          <w:sz w:val="28"/>
          <w:szCs w:val="28"/>
        </w:rPr>
      </w:pPr>
      <w:r>
        <w:rPr>
          <w:rFonts w:hint="eastAsia"/>
          <w:sz w:val="28"/>
          <w:szCs w:val="28"/>
        </w:rPr>
        <w:t>10、自动门检查（</w:t>
      </w:r>
      <w:r>
        <w:rPr>
          <w:sz w:val="28"/>
          <w:szCs w:val="28"/>
        </w:rPr>
        <w:t>1</w:t>
      </w:r>
      <w:r>
        <w:rPr>
          <w:rFonts w:hint="eastAsia"/>
          <w:sz w:val="28"/>
          <w:szCs w:val="28"/>
        </w:rPr>
        <w:t>个月检查一次）</w:t>
      </w:r>
    </w:p>
    <w:p>
      <w:pPr>
        <w:spacing w:line="360" w:lineRule="auto"/>
        <w:ind w:firstLine="560" w:firstLineChars="200"/>
        <w:rPr>
          <w:sz w:val="28"/>
          <w:szCs w:val="28"/>
        </w:rPr>
      </w:pPr>
      <w:r>
        <w:rPr>
          <w:rFonts w:hint="eastAsia"/>
          <w:sz w:val="28"/>
          <w:szCs w:val="28"/>
        </w:rPr>
        <w:t>11、自控系统检查（</w:t>
      </w:r>
      <w:r>
        <w:rPr>
          <w:sz w:val="28"/>
          <w:szCs w:val="28"/>
        </w:rPr>
        <w:t>1</w:t>
      </w:r>
      <w:r>
        <w:rPr>
          <w:rFonts w:hint="eastAsia"/>
          <w:sz w:val="28"/>
          <w:szCs w:val="28"/>
        </w:rPr>
        <w:t>个月检查一次）</w:t>
      </w:r>
    </w:p>
    <w:p>
      <w:pPr>
        <w:spacing w:line="360" w:lineRule="auto"/>
        <w:ind w:firstLine="560" w:firstLineChars="200"/>
        <w:rPr>
          <w:sz w:val="28"/>
          <w:szCs w:val="28"/>
        </w:rPr>
      </w:pPr>
      <w:r>
        <w:rPr>
          <w:rFonts w:hint="eastAsia"/>
          <w:sz w:val="28"/>
          <w:szCs w:val="28"/>
        </w:rPr>
        <w:t>12、过滤器更换：</w:t>
      </w:r>
    </w:p>
    <w:p>
      <w:pPr>
        <w:spacing w:line="360" w:lineRule="auto"/>
        <w:ind w:firstLine="280" w:firstLineChars="100"/>
        <w:rPr>
          <w:sz w:val="28"/>
          <w:szCs w:val="28"/>
        </w:rPr>
      </w:pPr>
      <w:r>
        <w:rPr>
          <w:rFonts w:hint="eastAsia"/>
          <w:sz w:val="28"/>
          <w:szCs w:val="28"/>
        </w:rPr>
        <w:t>（1）初效过滤器、中效过滤器每周检查，</w:t>
      </w:r>
      <w:r>
        <w:rPr>
          <w:sz w:val="28"/>
          <w:szCs w:val="28"/>
        </w:rPr>
        <w:t>3</w:t>
      </w:r>
      <w:r>
        <w:rPr>
          <w:rFonts w:hint="eastAsia"/>
          <w:sz w:val="28"/>
          <w:szCs w:val="28"/>
        </w:rPr>
        <w:t>个月更换一次，发现污染和堵塞及时更换。</w:t>
      </w:r>
    </w:p>
    <w:p>
      <w:pPr>
        <w:spacing w:line="360" w:lineRule="auto"/>
        <w:ind w:firstLine="280" w:firstLineChars="100"/>
        <w:rPr>
          <w:sz w:val="28"/>
          <w:szCs w:val="28"/>
        </w:rPr>
      </w:pPr>
      <w:r>
        <w:rPr>
          <w:rFonts w:hint="eastAsia"/>
          <w:sz w:val="28"/>
          <w:szCs w:val="28"/>
        </w:rPr>
        <w:t>（2）末端高效过滤器每年检查一次并出具检测单，当阻力超过设计初阻力</w:t>
      </w:r>
      <w:r>
        <w:rPr>
          <w:sz w:val="28"/>
          <w:szCs w:val="28"/>
        </w:rPr>
        <w:t>160Pa</w:t>
      </w:r>
      <w:r>
        <w:rPr>
          <w:rFonts w:hint="eastAsia"/>
          <w:sz w:val="28"/>
          <w:szCs w:val="28"/>
        </w:rPr>
        <w:t>或已经使用了</w:t>
      </w:r>
      <w:r>
        <w:rPr>
          <w:sz w:val="28"/>
          <w:szCs w:val="28"/>
        </w:rPr>
        <w:t>3</w:t>
      </w:r>
      <w:r>
        <w:rPr>
          <w:rFonts w:hint="eastAsia"/>
          <w:sz w:val="28"/>
          <w:szCs w:val="28"/>
        </w:rPr>
        <w:t>年以上时更换。</w:t>
      </w:r>
    </w:p>
    <w:p>
      <w:pPr>
        <w:spacing w:line="360" w:lineRule="auto"/>
        <w:ind w:firstLine="560" w:firstLineChars="200"/>
        <w:rPr>
          <w:rFonts w:hint="eastAsia"/>
          <w:sz w:val="28"/>
          <w:szCs w:val="28"/>
        </w:rPr>
      </w:pPr>
      <w:r>
        <w:rPr>
          <w:rFonts w:hint="eastAsia"/>
          <w:sz w:val="28"/>
          <w:szCs w:val="28"/>
        </w:rPr>
        <w:t>13、第三方检测（</w:t>
      </w:r>
      <w:r>
        <w:rPr>
          <w:sz w:val="28"/>
          <w:szCs w:val="28"/>
        </w:rPr>
        <w:t>1</w:t>
      </w:r>
      <w:r>
        <w:rPr>
          <w:rFonts w:hint="eastAsia"/>
          <w:sz w:val="28"/>
          <w:szCs w:val="28"/>
        </w:rPr>
        <w:t>年检测一次）</w:t>
      </w:r>
    </w:p>
    <w:p>
      <w:pPr>
        <w:spacing w:line="360" w:lineRule="auto"/>
        <w:ind w:firstLine="560" w:firstLineChars="200"/>
        <w:rPr>
          <w:rFonts w:hint="eastAsia"/>
          <w:sz w:val="28"/>
          <w:szCs w:val="28"/>
        </w:rPr>
      </w:pPr>
    </w:p>
    <w:tbl>
      <w:tblPr>
        <w:tblStyle w:val="8"/>
        <w:tblW w:w="8880" w:type="dxa"/>
        <w:tblInd w:w="89" w:type="dxa"/>
        <w:tblLayout w:type="fixed"/>
        <w:tblCellMar>
          <w:top w:w="0" w:type="dxa"/>
          <w:left w:w="108" w:type="dxa"/>
          <w:bottom w:w="0" w:type="dxa"/>
          <w:right w:w="108" w:type="dxa"/>
        </w:tblCellMar>
      </w:tblPr>
      <w:tblGrid>
        <w:gridCol w:w="2008"/>
        <w:gridCol w:w="3819"/>
        <w:gridCol w:w="1452"/>
        <w:gridCol w:w="1601"/>
      </w:tblGrid>
      <w:tr>
        <w:tblPrEx>
          <w:tblCellMar>
            <w:top w:w="0" w:type="dxa"/>
            <w:left w:w="108" w:type="dxa"/>
            <w:bottom w:w="0" w:type="dxa"/>
            <w:right w:w="108" w:type="dxa"/>
          </w:tblCellMar>
        </w:tblPrEx>
        <w:trPr>
          <w:trHeight w:val="352" w:hRule="atLeast"/>
        </w:trPr>
        <w:tc>
          <w:tcPr>
            <w:tcW w:w="2008" w:type="dxa"/>
            <w:tcBorders>
              <w:top w:val="single" w:color="auto" w:sz="8" w:space="0"/>
              <w:left w:val="single" w:color="auto" w:sz="8" w:space="0"/>
              <w:bottom w:val="single" w:color="auto" w:sz="8" w:space="0"/>
              <w:right w:val="single" w:color="auto" w:sz="8" w:space="0"/>
            </w:tcBorders>
            <w:noWrap/>
            <w:vAlign w:val="center"/>
          </w:tcPr>
          <w:p>
            <w:pPr>
              <w:tabs>
                <w:tab w:val="right" w:pos="10658"/>
              </w:tabs>
              <w:ind w:firstLine="210"/>
              <w:jc w:val="center"/>
              <w:rPr>
                <w:rFonts w:ascii="Times New Roman" w:hAnsi="宋体" w:eastAsia="宋体" w:cs="Times New Roman"/>
                <w:spacing w:val="5"/>
                <w:sz w:val="28"/>
                <w:szCs w:val="28"/>
              </w:rPr>
            </w:pPr>
            <w:r>
              <w:rPr>
                <w:rFonts w:hint="eastAsia" w:hAnsi="宋体"/>
                <w:spacing w:val="5"/>
                <w:sz w:val="28"/>
                <w:szCs w:val="28"/>
              </w:rPr>
              <w:t>项目</w:t>
            </w:r>
          </w:p>
        </w:tc>
        <w:tc>
          <w:tcPr>
            <w:tcW w:w="381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内容</w:t>
            </w:r>
          </w:p>
        </w:tc>
        <w:tc>
          <w:tcPr>
            <w:tcW w:w="1452" w:type="dxa"/>
            <w:tcBorders>
              <w:top w:val="single" w:color="auto" w:sz="8" w:space="0"/>
              <w:left w:val="nil"/>
              <w:bottom w:val="single" w:color="auto" w:sz="8"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单位</w:t>
            </w:r>
          </w:p>
        </w:tc>
        <w:tc>
          <w:tcPr>
            <w:tcW w:w="1601" w:type="dxa"/>
            <w:tcBorders>
              <w:top w:val="single" w:color="auto" w:sz="8" w:space="0"/>
              <w:left w:val="nil"/>
              <w:bottom w:val="single" w:color="auto" w:sz="8"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数量</w:t>
            </w:r>
          </w:p>
        </w:tc>
      </w:tr>
      <w:tr>
        <w:tblPrEx>
          <w:tblCellMar>
            <w:top w:w="0" w:type="dxa"/>
            <w:left w:w="108" w:type="dxa"/>
            <w:bottom w:w="0" w:type="dxa"/>
            <w:right w:w="108" w:type="dxa"/>
          </w:tblCellMar>
        </w:tblPrEx>
        <w:trPr>
          <w:trHeight w:val="352" w:hRule="atLeast"/>
        </w:trPr>
        <w:tc>
          <w:tcPr>
            <w:tcW w:w="2008" w:type="dxa"/>
            <w:tcBorders>
              <w:top w:val="nil"/>
              <w:left w:val="single" w:color="auto" w:sz="8" w:space="0"/>
              <w:bottom w:val="single" w:color="auto" w:sz="8" w:space="0"/>
              <w:right w:val="single" w:color="auto" w:sz="8" w:space="0"/>
            </w:tcBorders>
            <w:noWrap/>
            <w:vAlign w:val="center"/>
          </w:tcPr>
          <w:p>
            <w:pPr>
              <w:widowControl/>
              <w:jc w:val="center"/>
              <w:rPr>
                <w:rFonts w:ascii="Times New Roman" w:hAnsi="宋体" w:cs="Times New Roman"/>
                <w:spacing w:val="5"/>
                <w:sz w:val="28"/>
                <w:szCs w:val="28"/>
              </w:rPr>
            </w:pPr>
            <w:r>
              <w:rPr>
                <w:rFonts w:hint="eastAsia" w:hAnsi="宋体"/>
                <w:spacing w:val="5"/>
                <w:sz w:val="28"/>
                <w:szCs w:val="28"/>
              </w:rPr>
              <w:t>净化手术室</w:t>
            </w:r>
          </w:p>
          <w:p>
            <w:pPr>
              <w:widowControl/>
              <w:jc w:val="center"/>
              <w:rPr>
                <w:rFonts w:ascii="Times New Roman" w:hAnsi="宋体" w:eastAsia="宋体" w:cs="Times New Roman"/>
                <w:spacing w:val="5"/>
                <w:sz w:val="28"/>
                <w:szCs w:val="28"/>
              </w:rPr>
            </w:pPr>
            <w:r>
              <w:rPr>
                <w:rFonts w:hint="eastAsia" w:hAnsi="宋体"/>
                <w:spacing w:val="5"/>
                <w:sz w:val="28"/>
                <w:szCs w:val="28"/>
              </w:rPr>
              <w:t>维保费</w:t>
            </w:r>
          </w:p>
        </w:tc>
        <w:tc>
          <w:tcPr>
            <w:tcW w:w="3819" w:type="dxa"/>
            <w:tcBorders>
              <w:top w:val="nil"/>
              <w:left w:val="nil"/>
              <w:bottom w:val="single" w:color="auto" w:sz="8"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10间手术室（含2套洁净走廊、2套污物走廊）</w:t>
            </w:r>
          </w:p>
        </w:tc>
        <w:tc>
          <w:tcPr>
            <w:tcW w:w="1452" w:type="dxa"/>
            <w:tcBorders>
              <w:top w:val="nil"/>
              <w:left w:val="nil"/>
              <w:bottom w:val="single" w:color="auto" w:sz="8"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间</w:t>
            </w:r>
          </w:p>
        </w:tc>
        <w:tc>
          <w:tcPr>
            <w:tcW w:w="1601" w:type="dxa"/>
            <w:tcBorders>
              <w:top w:val="nil"/>
              <w:left w:val="nil"/>
              <w:bottom w:val="single" w:color="auto" w:sz="8"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10</w:t>
            </w:r>
          </w:p>
        </w:tc>
      </w:tr>
      <w:tr>
        <w:tblPrEx>
          <w:tblCellMar>
            <w:top w:w="0" w:type="dxa"/>
            <w:left w:w="108" w:type="dxa"/>
            <w:bottom w:w="0" w:type="dxa"/>
            <w:right w:w="108" w:type="dxa"/>
          </w:tblCellMar>
        </w:tblPrEx>
        <w:trPr>
          <w:trHeight w:val="501" w:hRule="atLeast"/>
        </w:trPr>
        <w:tc>
          <w:tcPr>
            <w:tcW w:w="2008" w:type="dxa"/>
            <w:tcBorders>
              <w:top w:val="nil"/>
              <w:left w:val="single" w:color="auto" w:sz="8" w:space="0"/>
              <w:bottom w:val="single" w:color="auto" w:sz="4"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第三方检测费</w:t>
            </w:r>
          </w:p>
        </w:tc>
        <w:tc>
          <w:tcPr>
            <w:tcW w:w="3819" w:type="dxa"/>
            <w:tcBorders>
              <w:top w:val="nil"/>
              <w:left w:val="nil"/>
              <w:bottom w:val="single" w:color="auto" w:sz="4"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10间手术室及走廊检测费</w:t>
            </w:r>
          </w:p>
        </w:tc>
        <w:tc>
          <w:tcPr>
            <w:tcW w:w="1452" w:type="dxa"/>
            <w:tcBorders>
              <w:top w:val="nil"/>
              <w:left w:val="nil"/>
              <w:bottom w:val="single" w:color="auto" w:sz="4" w:space="0"/>
              <w:right w:val="single" w:color="auto" w:sz="8" w:space="0"/>
            </w:tcBorders>
            <w:noWrap/>
            <w:vAlign w:val="center"/>
          </w:tcPr>
          <w:p>
            <w:pPr>
              <w:widowControl/>
              <w:jc w:val="center"/>
              <w:rPr>
                <w:rFonts w:ascii="Times New Roman" w:hAnsi="宋体" w:eastAsia="宋体" w:cs="Times New Roman"/>
                <w:spacing w:val="5"/>
                <w:sz w:val="28"/>
                <w:szCs w:val="28"/>
              </w:rPr>
            </w:pPr>
            <w:r>
              <w:rPr>
                <w:rFonts w:hint="eastAsia" w:hAnsi="宋体"/>
                <w:spacing w:val="5"/>
                <w:sz w:val="28"/>
                <w:szCs w:val="28"/>
              </w:rPr>
              <w:t>次</w:t>
            </w:r>
          </w:p>
        </w:tc>
        <w:tc>
          <w:tcPr>
            <w:tcW w:w="1601" w:type="dxa"/>
            <w:tcBorders>
              <w:top w:val="nil"/>
              <w:left w:val="nil"/>
              <w:bottom w:val="single" w:color="auto" w:sz="4" w:space="0"/>
              <w:right w:val="single" w:color="auto" w:sz="8" w:space="0"/>
            </w:tcBorders>
            <w:vAlign w:val="center"/>
          </w:tcPr>
          <w:p>
            <w:pPr>
              <w:widowControl/>
              <w:jc w:val="center"/>
              <w:rPr>
                <w:rFonts w:ascii="Times New Roman" w:hAnsi="宋体" w:eastAsia="宋体" w:cs="Times New Roman"/>
                <w:spacing w:val="5"/>
                <w:sz w:val="28"/>
                <w:szCs w:val="28"/>
              </w:rPr>
            </w:pPr>
            <w:r>
              <w:rPr>
                <w:rFonts w:hAnsi="宋体"/>
                <w:spacing w:val="5"/>
                <w:sz w:val="28"/>
                <w:szCs w:val="28"/>
              </w:rPr>
              <w:t>1</w:t>
            </w:r>
          </w:p>
        </w:tc>
      </w:tr>
      <w:tr>
        <w:tblPrEx>
          <w:tblCellMar>
            <w:top w:w="0" w:type="dxa"/>
            <w:left w:w="108" w:type="dxa"/>
            <w:bottom w:w="0" w:type="dxa"/>
            <w:right w:w="108" w:type="dxa"/>
          </w:tblCellMar>
        </w:tblPrEx>
        <w:trPr>
          <w:trHeight w:val="820" w:hRule="atLeast"/>
        </w:trPr>
        <w:tc>
          <w:tcPr>
            <w:tcW w:w="2008" w:type="dxa"/>
            <w:tcBorders>
              <w:top w:val="single" w:color="auto" w:sz="4" w:space="0"/>
              <w:left w:val="single" w:color="auto" w:sz="8" w:space="0"/>
              <w:bottom w:val="single" w:color="auto" w:sz="8" w:space="0"/>
              <w:right w:val="single" w:color="auto" w:sz="8" w:space="0"/>
            </w:tcBorders>
            <w:noWrap/>
            <w:vAlign w:val="center"/>
          </w:tcPr>
          <w:p>
            <w:pPr>
              <w:jc w:val="center"/>
              <w:rPr>
                <w:rFonts w:hint="eastAsia" w:hAnsi="宋体"/>
                <w:spacing w:val="5"/>
                <w:sz w:val="28"/>
                <w:szCs w:val="28"/>
              </w:rPr>
            </w:pPr>
            <w:r>
              <w:rPr>
                <w:rFonts w:hint="eastAsia" w:hAnsi="宋体"/>
                <w:spacing w:val="5"/>
                <w:sz w:val="28"/>
                <w:szCs w:val="28"/>
              </w:rPr>
              <w:t>动物实验室</w:t>
            </w:r>
          </w:p>
        </w:tc>
        <w:tc>
          <w:tcPr>
            <w:tcW w:w="3819" w:type="dxa"/>
            <w:tcBorders>
              <w:top w:val="single" w:color="auto" w:sz="4" w:space="0"/>
              <w:left w:val="nil"/>
              <w:bottom w:val="single" w:color="auto" w:sz="8" w:space="0"/>
              <w:right w:val="single" w:color="auto" w:sz="8" w:space="0"/>
            </w:tcBorders>
            <w:noWrap/>
            <w:vAlign w:val="center"/>
          </w:tcPr>
          <w:p>
            <w:pPr>
              <w:jc w:val="center"/>
              <w:rPr>
                <w:rFonts w:hint="eastAsia" w:hAnsi="宋体"/>
                <w:spacing w:val="5"/>
                <w:sz w:val="28"/>
                <w:szCs w:val="28"/>
              </w:rPr>
            </w:pPr>
            <w:r>
              <w:rPr>
                <w:rFonts w:hint="eastAsia" w:hAnsi="宋体"/>
                <w:spacing w:val="5"/>
                <w:sz w:val="28"/>
                <w:szCs w:val="28"/>
              </w:rPr>
              <w:t>净化机组及风冷模块机组</w:t>
            </w:r>
          </w:p>
        </w:tc>
        <w:tc>
          <w:tcPr>
            <w:tcW w:w="1452" w:type="dxa"/>
            <w:tcBorders>
              <w:top w:val="single" w:color="auto" w:sz="4" w:space="0"/>
              <w:left w:val="nil"/>
              <w:bottom w:val="single" w:color="auto" w:sz="8" w:space="0"/>
              <w:right w:val="single" w:color="auto" w:sz="8" w:space="0"/>
            </w:tcBorders>
            <w:noWrap/>
            <w:vAlign w:val="center"/>
          </w:tcPr>
          <w:p>
            <w:pPr>
              <w:jc w:val="center"/>
              <w:rPr>
                <w:rFonts w:hint="eastAsia" w:hAnsi="宋体"/>
                <w:spacing w:val="5"/>
                <w:sz w:val="28"/>
                <w:szCs w:val="28"/>
              </w:rPr>
            </w:pPr>
            <w:r>
              <w:rPr>
                <w:rFonts w:hint="eastAsia" w:hAnsi="宋体"/>
                <w:spacing w:val="5"/>
                <w:sz w:val="28"/>
                <w:szCs w:val="28"/>
              </w:rPr>
              <w:t>套</w:t>
            </w:r>
          </w:p>
        </w:tc>
        <w:tc>
          <w:tcPr>
            <w:tcW w:w="1601" w:type="dxa"/>
            <w:tcBorders>
              <w:top w:val="single" w:color="auto" w:sz="4" w:space="0"/>
              <w:left w:val="nil"/>
              <w:bottom w:val="single" w:color="auto" w:sz="8" w:space="0"/>
              <w:right w:val="single" w:color="auto" w:sz="8" w:space="0"/>
            </w:tcBorders>
            <w:vAlign w:val="center"/>
          </w:tcPr>
          <w:p>
            <w:pPr>
              <w:jc w:val="center"/>
              <w:rPr>
                <w:rFonts w:hAnsi="宋体"/>
                <w:spacing w:val="5"/>
                <w:sz w:val="28"/>
                <w:szCs w:val="28"/>
              </w:rPr>
            </w:pPr>
            <w:r>
              <w:rPr>
                <w:rFonts w:hint="eastAsia" w:hAnsi="宋体"/>
                <w:spacing w:val="5"/>
                <w:sz w:val="28"/>
                <w:szCs w:val="28"/>
              </w:rPr>
              <w:t>1</w:t>
            </w:r>
          </w:p>
        </w:tc>
      </w:tr>
    </w:tbl>
    <w:p>
      <w:pPr>
        <w:pStyle w:val="18"/>
        <w:widowControl w:val="0"/>
        <w:autoSpaceDE w:val="0"/>
        <w:autoSpaceDN w:val="0"/>
        <w:adjustRightInd w:val="0"/>
        <w:snapToGrid w:val="0"/>
        <w:spacing w:before="0" w:after="0" w:line="360" w:lineRule="auto"/>
        <w:ind w:firstLine="585"/>
        <w:jc w:val="left"/>
        <w:rPr>
          <w:rFonts w:asciiTheme="minorEastAsia" w:hAnsiTheme="minorEastAsia" w:cstheme="minorEastAsia"/>
          <w:b/>
          <w:color w:val="000000"/>
          <w:sz w:val="28"/>
          <w:szCs w:val="28"/>
          <w:lang w:eastAsia="zh-CN"/>
        </w:rPr>
      </w:pPr>
      <w:r>
        <w:rPr>
          <w:rFonts w:hint="eastAsia" w:asciiTheme="minorEastAsia" w:hAnsiTheme="minorEastAsia" w:cstheme="minorEastAsia"/>
          <w:b/>
          <w:color w:val="000000"/>
          <w:sz w:val="28"/>
          <w:szCs w:val="28"/>
          <w:lang w:eastAsia="zh-CN"/>
        </w:rPr>
        <w:t>注：维保费中包含单次300元及以内的配件更换。</w:t>
      </w:r>
    </w:p>
    <w:p>
      <w:pPr>
        <w:rPr>
          <w:rFonts w:hint="eastAsia" w:eastAsiaTheme="minorEastAsia"/>
          <w:b/>
          <w:sz w:val="28"/>
          <w:szCs w:val="28"/>
          <w:lang w:eastAsia="zh-CN"/>
        </w:rPr>
      </w:pPr>
      <w:r>
        <w:rPr>
          <w:rFonts w:hint="eastAsia"/>
          <w:b/>
          <w:sz w:val="28"/>
          <w:szCs w:val="28"/>
          <w:lang w:val="en-US" w:eastAsia="zh-CN"/>
        </w:rPr>
        <w:t>13、</w:t>
      </w:r>
      <w:r>
        <w:rPr>
          <w:rFonts w:hint="eastAsia"/>
          <w:b/>
          <w:sz w:val="28"/>
          <w:szCs w:val="28"/>
        </w:rPr>
        <w:t>服务响应时间</w:t>
      </w:r>
      <w:r>
        <w:rPr>
          <w:rFonts w:hint="eastAsia"/>
          <w:b/>
          <w:sz w:val="28"/>
          <w:szCs w:val="28"/>
          <w:lang w:eastAsia="zh-CN"/>
        </w:rPr>
        <w:t>要求</w:t>
      </w:r>
    </w:p>
    <w:p>
      <w:pPr>
        <w:numPr>
          <w:ilvl w:val="0"/>
          <w:numId w:val="2"/>
        </w:numPr>
        <w:ind w:left="425" w:leftChars="0" w:hanging="425" w:firstLineChars="0"/>
        <w:rPr>
          <w:sz w:val="28"/>
          <w:szCs w:val="28"/>
        </w:rPr>
      </w:pPr>
      <w:r>
        <w:rPr>
          <w:rFonts w:hint="eastAsia"/>
          <w:sz w:val="28"/>
          <w:szCs w:val="28"/>
        </w:rPr>
        <w:t>日常工作中发现设备出现报警采购人应及时通知供应商，供应商在得到通知后</w:t>
      </w:r>
      <w:r>
        <w:rPr>
          <w:sz w:val="28"/>
          <w:szCs w:val="28"/>
        </w:rPr>
        <w:t>30</w:t>
      </w:r>
      <w:r>
        <w:rPr>
          <w:rFonts w:hint="eastAsia"/>
          <w:sz w:val="28"/>
          <w:szCs w:val="28"/>
        </w:rPr>
        <w:t>分钟内作出响应，采购人应配合供应商先作简单的应急处理。</w:t>
      </w:r>
    </w:p>
    <w:p>
      <w:pPr>
        <w:numPr>
          <w:ilvl w:val="0"/>
          <w:numId w:val="2"/>
        </w:numPr>
        <w:ind w:left="425" w:leftChars="0" w:hanging="425" w:firstLineChars="0"/>
        <w:rPr>
          <w:sz w:val="28"/>
          <w:szCs w:val="28"/>
        </w:rPr>
      </w:pPr>
      <w:r>
        <w:rPr>
          <w:rFonts w:hint="eastAsia"/>
          <w:sz w:val="28"/>
          <w:szCs w:val="28"/>
        </w:rPr>
        <w:t>对于不影响运行的一般故障，供应商在</w:t>
      </w:r>
      <w:r>
        <w:rPr>
          <w:sz w:val="28"/>
          <w:szCs w:val="28"/>
        </w:rPr>
        <w:t>8</w:t>
      </w:r>
      <w:r>
        <w:rPr>
          <w:rFonts w:hint="eastAsia"/>
          <w:sz w:val="28"/>
          <w:szCs w:val="28"/>
        </w:rPr>
        <w:t>小时内到达现场进行故障处理；对于严重故障（停机、不能制冷等会导致无法正常手术的故障），供应商保证在</w:t>
      </w:r>
      <w:r>
        <w:rPr>
          <w:sz w:val="28"/>
          <w:szCs w:val="28"/>
        </w:rPr>
        <w:t>2</w:t>
      </w:r>
      <w:r>
        <w:rPr>
          <w:rFonts w:hint="eastAsia"/>
          <w:sz w:val="28"/>
          <w:szCs w:val="28"/>
        </w:rPr>
        <w:t>小时内到达现场处理故障；如需更换配件，供应商在</w:t>
      </w:r>
      <w:r>
        <w:rPr>
          <w:sz w:val="28"/>
          <w:szCs w:val="28"/>
        </w:rPr>
        <w:t>3</w:t>
      </w:r>
      <w:r>
        <w:rPr>
          <w:rFonts w:hint="eastAsia"/>
          <w:sz w:val="28"/>
          <w:szCs w:val="28"/>
        </w:rPr>
        <w:t>个工作日内提供配件并更换。</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widowControl/>
        <w:jc w:val="center"/>
        <w:rPr>
          <w:rFonts w:hint="eastAsia"/>
          <w:lang w:val="en-US" w:eastAsia="zh-CN"/>
        </w:rPr>
      </w:pPr>
      <w:r>
        <w:rPr>
          <w:rFonts w:hint="eastAsia" w:cs="Helvetica" w:asciiTheme="minorEastAsia" w:hAnsiTheme="minorEastAsia"/>
          <w:b/>
          <w:color w:val="333333"/>
          <w:sz w:val="28"/>
          <w:szCs w:val="28"/>
        </w:rPr>
        <w:t>第三章  评分标准</w:t>
      </w:r>
    </w:p>
    <w:tbl>
      <w:tblPr>
        <w:tblStyle w:val="9"/>
        <w:tblpPr w:leftFromText="180" w:rightFromText="180" w:vertAnchor="text" w:horzAnchor="page" w:tblpX="1986" w:tblpY="1025"/>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535"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评分项目及分值</w:t>
            </w:r>
          </w:p>
        </w:tc>
        <w:tc>
          <w:tcPr>
            <w:tcW w:w="6078"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投标报价（30分）</w:t>
            </w:r>
          </w:p>
        </w:tc>
        <w:tc>
          <w:tcPr>
            <w:tcW w:w="6078"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shd w:val="clear" w:color="auto" w:fill="FFFFFF"/>
              </w:rPr>
              <w:t>满足招标文件要求且投标价格最低的有效投标报价为评标基准价，其价格分为满分30分。其他供应商的价格分统一按照下列公式计算：投标报价得分=（评标基准价/投标报价）×30，结果保留两位小数。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企业业绩（</w:t>
            </w:r>
            <w:r>
              <w:rPr>
                <w:rFonts w:asciiTheme="minorEastAsia" w:hAnsiTheme="minorEastAsia" w:cstheme="minorEastAsia"/>
                <w:szCs w:val="21"/>
              </w:rPr>
              <w:t>8</w:t>
            </w:r>
            <w:r>
              <w:rPr>
                <w:rFonts w:hint="eastAsia" w:asciiTheme="minorEastAsia" w:hAnsiTheme="minorEastAsia" w:cstheme="minorEastAsia"/>
                <w:szCs w:val="21"/>
              </w:rPr>
              <w:t>分）</w:t>
            </w:r>
          </w:p>
        </w:tc>
        <w:tc>
          <w:tcPr>
            <w:tcW w:w="6078" w:type="dxa"/>
            <w:vAlign w:val="center"/>
          </w:tcPr>
          <w:p>
            <w:pPr>
              <w:rPr>
                <w:rFonts w:asciiTheme="minorEastAsia" w:hAnsiTheme="minorEastAsia" w:cstheme="minorEastAsia"/>
                <w:szCs w:val="21"/>
              </w:rPr>
            </w:pPr>
            <w:r>
              <w:rPr>
                <w:rFonts w:hint="eastAsia" w:asciiTheme="minorEastAsia" w:hAnsiTheme="minorEastAsia" w:cstheme="minorEastAsia"/>
                <w:color w:val="auto"/>
                <w:szCs w:val="21"/>
                <w:shd w:val="clear" w:color="auto" w:fill="FFFFFF"/>
              </w:rPr>
              <w:t>供应商2</w:t>
            </w:r>
            <w:r>
              <w:rPr>
                <w:rFonts w:asciiTheme="minorEastAsia" w:hAnsiTheme="minorEastAsia" w:cstheme="minorEastAsia"/>
                <w:color w:val="auto"/>
                <w:szCs w:val="21"/>
                <w:shd w:val="clear" w:color="auto" w:fill="FFFFFF"/>
              </w:rPr>
              <w:t>01</w:t>
            </w:r>
            <w:r>
              <w:rPr>
                <w:rFonts w:hint="eastAsia" w:asciiTheme="minorEastAsia" w:hAnsiTheme="minorEastAsia" w:cstheme="minorEastAsia"/>
                <w:color w:val="auto"/>
                <w:szCs w:val="21"/>
                <w:shd w:val="clear" w:color="auto" w:fill="FFFFFF"/>
                <w:lang w:val="en-US" w:eastAsia="zh-CN"/>
              </w:rPr>
              <w:t>9</w:t>
            </w:r>
            <w:r>
              <w:rPr>
                <w:rFonts w:hint="eastAsia" w:asciiTheme="minorEastAsia" w:hAnsiTheme="minorEastAsia" w:cstheme="minorEastAsia"/>
                <w:color w:val="auto"/>
                <w:szCs w:val="21"/>
                <w:shd w:val="clear" w:color="auto" w:fill="FFFFFF"/>
              </w:rPr>
              <w:t>年</w:t>
            </w:r>
            <w:r>
              <w:rPr>
                <w:rFonts w:hint="eastAsia" w:asciiTheme="minorEastAsia" w:hAnsiTheme="minorEastAsia" w:cstheme="minorEastAsia"/>
                <w:color w:val="auto"/>
                <w:szCs w:val="21"/>
                <w:shd w:val="clear" w:color="auto" w:fill="FFFFFF"/>
                <w:lang w:val="en-US" w:eastAsia="zh-CN"/>
              </w:rPr>
              <w:t>5</w:t>
            </w:r>
            <w:r>
              <w:rPr>
                <w:rFonts w:hint="eastAsia" w:asciiTheme="minorEastAsia" w:hAnsiTheme="minorEastAsia" w:cstheme="minorEastAsia"/>
                <w:color w:val="auto"/>
                <w:szCs w:val="21"/>
                <w:shd w:val="clear" w:color="auto" w:fill="FFFFFF"/>
              </w:rPr>
              <w:t>月1日以</w:t>
            </w:r>
            <w:r>
              <w:rPr>
                <w:rFonts w:hint="eastAsia" w:asciiTheme="minorEastAsia" w:hAnsiTheme="minorEastAsia" w:cstheme="minorEastAsia"/>
                <w:color w:val="000000"/>
                <w:szCs w:val="21"/>
                <w:shd w:val="clear" w:color="auto" w:fill="FFFFFF"/>
              </w:rPr>
              <w:t>后签订的同类项目业绩（合同内容至少包含层流滤网更换清洁或者层流机组设备保修项目），每提供</w:t>
            </w:r>
            <w:r>
              <w:rPr>
                <w:rFonts w:asciiTheme="minorEastAsia" w:hAnsiTheme="minorEastAsia" w:cstheme="minorEastAsia"/>
                <w:color w:val="000000"/>
                <w:szCs w:val="21"/>
                <w:shd w:val="clear" w:color="auto" w:fill="FFFFFF"/>
              </w:rPr>
              <w:t>1</w:t>
            </w:r>
            <w:r>
              <w:rPr>
                <w:rFonts w:hint="eastAsia" w:asciiTheme="minorEastAsia" w:hAnsiTheme="minorEastAsia" w:cstheme="minorEastAsia"/>
                <w:color w:val="000000"/>
                <w:szCs w:val="21"/>
                <w:shd w:val="clear" w:color="auto" w:fill="FFFFFF"/>
              </w:rPr>
              <w:t>份得2分，最高</w:t>
            </w:r>
            <w:r>
              <w:rPr>
                <w:rFonts w:asciiTheme="minorEastAsia" w:hAnsiTheme="minorEastAsia" w:cstheme="minorEastAsia"/>
                <w:color w:val="000000"/>
                <w:szCs w:val="21"/>
                <w:shd w:val="clear" w:color="auto" w:fill="FFFFFF"/>
              </w:rPr>
              <w:t>8</w:t>
            </w:r>
            <w:r>
              <w:rPr>
                <w:rFonts w:hint="eastAsia" w:asciiTheme="minorEastAsia" w:hAnsiTheme="minorEastAsia" w:cstheme="minorEastAsia"/>
                <w:color w:val="000000"/>
                <w:szCs w:val="21"/>
                <w:shd w:val="clear" w:color="auto" w:fill="FFFFFF"/>
              </w:rPr>
              <w:t>分。</w:t>
            </w:r>
            <w:r>
              <w:rPr>
                <w:rFonts w:hint="eastAsia" w:asciiTheme="minorEastAsia" w:hAnsiTheme="minorEastAsia" w:cstheme="minorEastAsia"/>
                <w:b/>
                <w:color w:val="000000"/>
                <w:szCs w:val="21"/>
                <w:shd w:val="clear" w:color="auto" w:fill="FFFFFF"/>
              </w:rPr>
              <w:t>（需提供合同原件，否则不得分）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企业资质（3分）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供应商具有</w:t>
            </w:r>
            <w:r>
              <w:rPr>
                <w:rFonts w:asciiTheme="minorEastAsia" w:hAnsiTheme="minorEastAsia" w:cstheme="minorEastAsia"/>
                <w:color w:val="000000"/>
                <w:szCs w:val="21"/>
                <w:shd w:val="clear" w:color="auto" w:fill="FFFFFF"/>
              </w:rPr>
              <w:t>ISO9000</w:t>
            </w:r>
            <w:r>
              <w:rPr>
                <w:rFonts w:hint="eastAsia" w:asciiTheme="minorEastAsia" w:hAnsiTheme="minorEastAsia" w:cstheme="minorEastAsia"/>
                <w:color w:val="000000"/>
                <w:szCs w:val="21"/>
                <w:shd w:val="clear" w:color="auto" w:fill="FFFFFF"/>
              </w:rPr>
              <w:t>系列质量管理体系认证、</w:t>
            </w:r>
            <w:r>
              <w:rPr>
                <w:rFonts w:asciiTheme="minorEastAsia" w:hAnsiTheme="minorEastAsia" w:cstheme="minorEastAsia"/>
                <w:color w:val="000000"/>
                <w:szCs w:val="21"/>
                <w:shd w:val="clear" w:color="auto" w:fill="FFFFFF"/>
              </w:rPr>
              <w:t>IS018000</w:t>
            </w:r>
            <w:r>
              <w:rPr>
                <w:rFonts w:hint="eastAsia" w:asciiTheme="minorEastAsia" w:hAnsiTheme="minorEastAsia" w:cstheme="minorEastAsia"/>
                <w:color w:val="000000"/>
                <w:szCs w:val="21"/>
                <w:shd w:val="clear" w:color="auto" w:fill="FFFFFF"/>
              </w:rPr>
              <w:t>系列职业健康安全认证、</w:t>
            </w:r>
            <w:r>
              <w:rPr>
                <w:rFonts w:asciiTheme="minorEastAsia" w:hAnsiTheme="minorEastAsia" w:cstheme="minorEastAsia"/>
                <w:color w:val="000000"/>
                <w:szCs w:val="21"/>
                <w:shd w:val="clear" w:color="auto" w:fill="FFFFFF"/>
              </w:rPr>
              <w:t>ISO14000</w:t>
            </w:r>
            <w:r>
              <w:rPr>
                <w:rFonts w:hint="eastAsia" w:asciiTheme="minorEastAsia" w:hAnsiTheme="minorEastAsia" w:cstheme="minorEastAsia"/>
                <w:color w:val="000000"/>
                <w:szCs w:val="21"/>
                <w:shd w:val="clear" w:color="auto" w:fill="FFFFFF"/>
              </w:rPr>
              <w:t>系列环境认证。每一个证书得1分，最高3分。（</w:t>
            </w:r>
            <w:r>
              <w:rPr>
                <w:rFonts w:hint="eastAsia" w:asciiTheme="minorEastAsia" w:hAnsiTheme="minorEastAsia" w:cstheme="minorEastAsia"/>
                <w:b/>
                <w:color w:val="000000"/>
                <w:szCs w:val="21"/>
                <w:shd w:val="clear" w:color="auto" w:fill="FFFFFF"/>
              </w:rPr>
              <w:t>需提供证书原件，否则不得分</w:t>
            </w:r>
            <w:r>
              <w:rPr>
                <w:rFonts w:hint="eastAsia" w:asciiTheme="minorEastAsia" w:hAnsiTheme="minorEastAsia" w:cstheme="minorEastAsia"/>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服务方案（24分）</w:t>
            </w:r>
          </w:p>
        </w:tc>
        <w:tc>
          <w:tcPr>
            <w:tcW w:w="6078" w:type="dxa"/>
            <w:vAlign w:val="center"/>
          </w:tcPr>
          <w:p>
            <w:pPr>
              <w:autoSpaceDE w:val="0"/>
              <w:autoSpaceDN w:val="0"/>
              <w:adjustRightInd w:val="0"/>
              <w:snapToGrid w:val="0"/>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1、服务方案符合招标文件要求且详尽完备的，由评委在0-16分之间酌情打分；</w:t>
            </w:r>
          </w:p>
          <w:p>
            <w:pPr>
              <w:autoSpaceDE w:val="0"/>
              <w:autoSpaceDN w:val="0"/>
              <w:adjustRightInd w:val="0"/>
              <w:snapToGrid w:val="0"/>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2、服务流程合理、管理措施完备的，由评委在0-4分之间酌情打分；</w:t>
            </w:r>
          </w:p>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3、管理科学、服务制度完备的，由评委在0-4分之间酌情打分。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服务保证措施（10分）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供应商组织机构及服务质量保证措施、保密措施等能做到机构健全，建立完整的工作台帐、工作信息收集、反馈等客户质量保证措施，由评委在0-10分之间酌情打分。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应急预案（5分）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根据供应商提供针对各种突发状况的应急处理措施，由评委在0-5分之间酌情打分。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服务承诺（5分）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服务承诺具有实质性内容，针对性、操作性强，由评委在0-5分之间酌情打分。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人员配备情况（5分）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拟投入人员组织结构、人员配备和保障措施合理，能够满足项目要求，酌情在0-5分之间打分。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售后服务能力（5分）</w:t>
            </w:r>
          </w:p>
        </w:tc>
        <w:tc>
          <w:tcPr>
            <w:tcW w:w="6078" w:type="dxa"/>
            <w:vAlign w:val="center"/>
          </w:tcPr>
          <w:p>
            <w:pPr>
              <w:rPr>
                <w:rFonts w:hint="eastAsia" w:asciiTheme="minorEastAsia" w:hAnsiTheme="minorEastAsia" w:eastAsiaTheme="minorEastAsia" w:cstheme="minorEastAsia"/>
                <w:szCs w:val="21"/>
                <w:lang w:eastAsia="zh-CN"/>
              </w:rPr>
            </w:pPr>
            <w:r>
              <w:rPr>
                <w:rFonts w:hint="eastAsia" w:asciiTheme="minorEastAsia" w:hAnsiTheme="minorEastAsia" w:cstheme="minorEastAsia"/>
                <w:color w:val="000000"/>
                <w:szCs w:val="21"/>
                <w:shd w:val="clear" w:color="auto" w:fill="FFFFFF"/>
              </w:rPr>
              <w:t>具有较强的本地化服务能力，并配有较强的专业技术队伍，要合理安排响应服务。根据售后的响应时间、故障修复时间、售后服务的保障措施、质保时间等方面由评委进行分析比较、评议，在0-5分之间综合打分</w:t>
            </w:r>
            <w:r>
              <w:rPr>
                <w:rFonts w:hint="eastAsia" w:asciiTheme="minorEastAsia" w:hAnsiTheme="minorEastAsia" w:cstheme="minorEastAsia"/>
                <w:color w:val="00000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优惠条件及合理化建议（</w:t>
            </w:r>
            <w:r>
              <w:rPr>
                <w:rFonts w:asciiTheme="minorEastAsia" w:hAnsiTheme="minorEastAsia" w:cstheme="minorEastAsia"/>
                <w:szCs w:val="21"/>
              </w:rPr>
              <w:t>5</w:t>
            </w:r>
            <w:r>
              <w:rPr>
                <w:rFonts w:hint="eastAsia" w:asciiTheme="minorEastAsia" w:hAnsiTheme="minorEastAsia" w:cstheme="minorEastAsia"/>
                <w:szCs w:val="21"/>
              </w:rPr>
              <w:t>分）</w:t>
            </w:r>
          </w:p>
        </w:tc>
        <w:tc>
          <w:tcPr>
            <w:tcW w:w="6078" w:type="dxa"/>
            <w:vAlign w:val="center"/>
          </w:tcPr>
          <w:p>
            <w:pPr>
              <w:rPr>
                <w:rFonts w:asciiTheme="minorEastAsia" w:hAnsiTheme="minorEastAsia" w:cstheme="minorEastAsia"/>
                <w:szCs w:val="21"/>
              </w:rPr>
            </w:pPr>
            <w:r>
              <w:rPr>
                <w:rFonts w:hint="eastAsia" w:asciiTheme="minorEastAsia" w:hAnsiTheme="minorEastAsia" w:cstheme="minorEastAsia"/>
                <w:szCs w:val="21"/>
              </w:rPr>
              <w:t>根据投标人给予的实质性优惠条件和提出的合理化建议，得0</w:t>
            </w:r>
            <w:r>
              <w:rPr>
                <w:rFonts w:asciiTheme="minorEastAsia" w:hAnsiTheme="minorEastAsia" w:cstheme="minorEastAsia"/>
                <w:szCs w:val="21"/>
              </w:rPr>
              <w:t>-5</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合计</w:t>
            </w:r>
          </w:p>
        </w:tc>
        <w:tc>
          <w:tcPr>
            <w:tcW w:w="607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00</w:t>
            </w:r>
            <w:r>
              <w:rPr>
                <w:rFonts w:hint="eastAsia" w:asciiTheme="minorEastAsia" w:hAnsiTheme="minorEastAsia" w:cstheme="minorEastAsia"/>
                <w:szCs w:val="21"/>
              </w:rPr>
              <w:t>分</w:t>
            </w:r>
          </w:p>
        </w:tc>
      </w:tr>
    </w:tbl>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bookmarkStart w:id="9" w:name="_GoBack"/>
      <w:bookmarkEnd w:id="9"/>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五</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两</w:t>
      </w:r>
      <w:r>
        <w:rPr>
          <w:rFonts w:hint="eastAsia"/>
          <w:b/>
          <w:sz w:val="28"/>
          <w:szCs w:val="28"/>
        </w:rPr>
        <w:t>年同类业绩一览表</w:t>
      </w:r>
    </w:p>
    <w:p>
      <w:pPr>
        <w:pStyle w:val="13"/>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5</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两</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六</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七</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w:t>
      </w:r>
      <w:r>
        <w:rPr>
          <w:rFonts w:hint="eastAsia"/>
          <w:sz w:val="28"/>
          <w:szCs w:val="28"/>
          <w:lang w:val="en-US" w:eastAsia="zh-CN"/>
        </w:rPr>
        <w:t>八</w:t>
      </w:r>
      <w:r>
        <w:rPr>
          <w:rFonts w:hint="eastAsia"/>
          <w:sz w:val="28"/>
          <w:szCs w:val="28"/>
        </w:rPr>
        <w:t>：</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43F902"/>
    <w:multiLevelType w:val="singleLevel"/>
    <w:tmpl w:val="6743F902"/>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B592D42"/>
    <w:rsid w:val="30862769"/>
    <w:rsid w:val="30ED6026"/>
    <w:rsid w:val="3E294764"/>
    <w:rsid w:val="41795C12"/>
    <w:rsid w:val="434752D4"/>
    <w:rsid w:val="450F39F2"/>
    <w:rsid w:val="455627B7"/>
    <w:rsid w:val="473E600E"/>
    <w:rsid w:val="474655B0"/>
    <w:rsid w:val="489D396D"/>
    <w:rsid w:val="50901E9F"/>
    <w:rsid w:val="572E0F59"/>
    <w:rsid w:val="57C750E8"/>
    <w:rsid w:val="598343A6"/>
    <w:rsid w:val="602F1439"/>
    <w:rsid w:val="670F0E44"/>
    <w:rsid w:val="67401904"/>
    <w:rsid w:val="67A369D6"/>
    <w:rsid w:val="683E490D"/>
    <w:rsid w:val="699F14B4"/>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 w:type="paragraph" w:customStyle="1" w:styleId="18">
    <w:name w:val="Normal_8"/>
    <w:qFormat/>
    <w:uiPriority w:val="0"/>
    <w:pPr>
      <w:spacing w:before="120" w:after="240"/>
      <w:jc w:val="both"/>
    </w:pPr>
    <w:rPr>
      <w:rFonts w:asciiTheme="minorHAnsi" w:hAnsiTheme="minorHAnsi" w:eastAsiaTheme="minorEastAsia" w:cstheme="minorBidi"/>
      <w:kern w:val="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9</TotalTime>
  <ScaleCrop>false</ScaleCrop>
  <LinksUpToDate>false</LinksUpToDate>
  <CharactersWithSpaces>7298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2021-05-28T06:12:56Z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556ADD2B00CD48878685974EDF038771</vt:lpwstr>
  </property>
</Properties>
</file>