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0"/>
        </w:numPr>
        <w:ind w:leftChars="0"/>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山东第一医科大学附属青岛眼科医院虚拟化容灾备份项目竞争性磋商文件</w:t>
      </w:r>
    </w:p>
    <w:p>
      <w:pPr>
        <w:pStyle w:val="9"/>
        <w:numPr>
          <w:ilvl w:val="0"/>
          <w:numId w:val="1"/>
        </w:numPr>
        <w:ind w:firstLineChars="0"/>
        <w:jc w:val="center"/>
        <w:rPr>
          <w:b/>
          <w:sz w:val="28"/>
          <w:szCs w:val="28"/>
        </w:rPr>
      </w:pPr>
      <w:r>
        <w:rPr>
          <w:rFonts w:hint="eastAsia"/>
          <w:b/>
          <w:sz w:val="28"/>
          <w:szCs w:val="28"/>
        </w:rPr>
        <w:t>供应商须知</w:t>
      </w:r>
    </w:p>
    <w:p>
      <w:pPr>
        <w:keepNext w:val="0"/>
        <w:keepLines w:val="0"/>
        <w:pageBreakBefore w:val="0"/>
        <w:widowControl w:val="0"/>
        <w:kinsoku/>
        <w:wordWrap/>
        <w:overflowPunct/>
        <w:topLinePunct w:val="0"/>
        <w:autoSpaceDE/>
        <w:autoSpaceDN/>
        <w:bidi w:val="0"/>
        <w:adjustRightInd/>
        <w:snapToGrid/>
        <w:spacing w:line="360" w:lineRule="auto"/>
        <w:textAlignment w:val="auto"/>
        <w:rPr>
          <w:b/>
          <w:sz w:val="28"/>
          <w:szCs w:val="28"/>
        </w:rPr>
      </w:pPr>
      <w:r>
        <w:rPr>
          <w:rFonts w:hint="eastAsia"/>
          <w:b/>
          <w:sz w:val="28"/>
          <w:szCs w:val="28"/>
        </w:rPr>
        <w:t>一、供应商资格</w:t>
      </w:r>
    </w:p>
    <w:p>
      <w:pPr>
        <w:spacing w:line="360" w:lineRule="auto"/>
        <w:ind w:firstLine="420" w:firstLineChars="150"/>
        <w:rPr>
          <w:rFonts w:hint="eastAsia"/>
          <w:sz w:val="28"/>
          <w:szCs w:val="28"/>
        </w:rPr>
      </w:pPr>
      <w:r>
        <w:rPr>
          <w:rFonts w:hint="eastAsia"/>
          <w:sz w:val="28"/>
          <w:szCs w:val="28"/>
        </w:rPr>
        <w:t>1、在中国境内注册、具有能独立法人资格、能独立承担民事责任的合法企业；</w:t>
      </w:r>
    </w:p>
    <w:p>
      <w:pPr>
        <w:spacing w:line="360" w:lineRule="auto"/>
        <w:ind w:firstLine="420" w:firstLineChars="150"/>
        <w:rPr>
          <w:rFonts w:hint="eastAsia"/>
          <w:sz w:val="28"/>
          <w:szCs w:val="28"/>
        </w:rPr>
      </w:pPr>
      <w:r>
        <w:rPr>
          <w:rFonts w:hint="eastAsia"/>
          <w:sz w:val="28"/>
          <w:szCs w:val="28"/>
        </w:rPr>
        <w:t>2、参加本次招标活动前3年内，在经营活动中没有重大违法记录；</w:t>
      </w:r>
    </w:p>
    <w:p>
      <w:pPr>
        <w:spacing w:line="360" w:lineRule="auto"/>
        <w:ind w:firstLine="420" w:firstLineChars="150"/>
        <w:rPr>
          <w:rFonts w:hint="eastAsia"/>
          <w:sz w:val="28"/>
          <w:szCs w:val="28"/>
        </w:rPr>
      </w:pPr>
      <w:r>
        <w:rPr>
          <w:rFonts w:hint="eastAsia"/>
          <w:sz w:val="28"/>
          <w:szCs w:val="28"/>
        </w:rPr>
        <w:t>3、具有健全的财务会计制度和良好的财务状况报告，依缴纳税收和社会保障资金；</w:t>
      </w:r>
    </w:p>
    <w:p>
      <w:pPr>
        <w:spacing w:line="360" w:lineRule="auto"/>
        <w:ind w:firstLine="420" w:firstLineChars="150"/>
        <w:rPr>
          <w:rFonts w:hint="eastAsia"/>
          <w:sz w:val="28"/>
          <w:szCs w:val="28"/>
        </w:rPr>
      </w:pPr>
      <w:r>
        <w:rPr>
          <w:rFonts w:hint="eastAsia"/>
          <w:sz w:val="28"/>
          <w:szCs w:val="28"/>
          <w:lang w:val="en-US" w:eastAsia="zh-CN"/>
        </w:rPr>
        <w:t>4</w:t>
      </w:r>
      <w:r>
        <w:rPr>
          <w:rFonts w:hint="eastAsia"/>
          <w:sz w:val="28"/>
          <w:szCs w:val="28"/>
        </w:rPr>
        <w:t>、单位负责人为同一人或者存在直接控股、管理关系的不同供应商，不得参加同一合同项下的招标采购活动。</w:t>
      </w:r>
    </w:p>
    <w:p>
      <w:pPr>
        <w:spacing w:line="360" w:lineRule="auto"/>
        <w:ind w:firstLine="420" w:firstLineChars="150"/>
        <w:rPr>
          <w:rFonts w:hint="eastAsia"/>
          <w:sz w:val="28"/>
          <w:szCs w:val="28"/>
        </w:rPr>
      </w:pPr>
      <w:r>
        <w:rPr>
          <w:rFonts w:hint="eastAsia"/>
          <w:sz w:val="28"/>
          <w:szCs w:val="28"/>
          <w:lang w:val="en-US" w:eastAsia="zh-CN"/>
        </w:rPr>
        <w:t>5</w:t>
      </w:r>
      <w:r>
        <w:rPr>
          <w:rFonts w:hint="eastAsia"/>
          <w:sz w:val="28"/>
          <w:szCs w:val="28"/>
        </w:rPr>
        <w:t>、具有履行合同所必需的人员、设备和专业技术能力；</w:t>
      </w:r>
    </w:p>
    <w:p>
      <w:pPr>
        <w:spacing w:line="360" w:lineRule="auto"/>
        <w:ind w:firstLine="420" w:firstLineChars="150"/>
        <w:rPr>
          <w:rFonts w:hint="eastAsia"/>
          <w:sz w:val="28"/>
          <w:szCs w:val="28"/>
        </w:rPr>
      </w:pPr>
      <w:r>
        <w:rPr>
          <w:rFonts w:hint="eastAsia"/>
          <w:sz w:val="28"/>
          <w:szCs w:val="28"/>
          <w:lang w:val="en-US" w:eastAsia="zh-CN"/>
        </w:rPr>
        <w:t>6</w:t>
      </w:r>
      <w:r>
        <w:rPr>
          <w:rFonts w:hint="eastAsia"/>
          <w:sz w:val="28"/>
          <w:szCs w:val="28"/>
        </w:rPr>
        <w:t>、应符合《中华人民共和国政府采购法》第二十二条的规定；</w:t>
      </w:r>
    </w:p>
    <w:p>
      <w:pPr>
        <w:spacing w:line="360" w:lineRule="auto"/>
        <w:ind w:firstLine="420" w:firstLineChars="150"/>
        <w:rPr>
          <w:rFonts w:hint="eastAsia"/>
          <w:sz w:val="28"/>
          <w:szCs w:val="28"/>
        </w:rPr>
      </w:pPr>
      <w:r>
        <w:rPr>
          <w:rFonts w:hint="eastAsia"/>
          <w:sz w:val="28"/>
          <w:szCs w:val="28"/>
          <w:lang w:val="en-US" w:eastAsia="zh-CN"/>
        </w:rPr>
        <w:t>7</w:t>
      </w:r>
      <w:r>
        <w:rPr>
          <w:rFonts w:hint="eastAsia"/>
          <w:sz w:val="28"/>
          <w:szCs w:val="28"/>
        </w:rPr>
        <w:t>、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spacing w:line="360" w:lineRule="auto"/>
        <w:ind w:firstLine="420" w:firstLineChars="150"/>
        <w:rPr>
          <w:rFonts w:hint="eastAsia"/>
          <w:sz w:val="28"/>
          <w:szCs w:val="28"/>
        </w:rPr>
      </w:pPr>
      <w:r>
        <w:rPr>
          <w:rFonts w:hint="eastAsia"/>
          <w:sz w:val="28"/>
          <w:szCs w:val="28"/>
          <w:lang w:val="en-US" w:eastAsia="zh-CN"/>
        </w:rPr>
        <w:t>8、</w:t>
      </w:r>
      <w:r>
        <w:rPr>
          <w:rFonts w:hint="eastAsia"/>
          <w:sz w:val="28"/>
          <w:szCs w:val="28"/>
        </w:rPr>
        <w:t>符合磋商文件中规定的其他实质性要求；</w:t>
      </w:r>
    </w:p>
    <w:p>
      <w:pPr>
        <w:spacing w:line="360" w:lineRule="auto"/>
        <w:ind w:firstLine="420" w:firstLineChars="150"/>
        <w:rPr>
          <w:rFonts w:hint="eastAsia"/>
          <w:sz w:val="28"/>
          <w:szCs w:val="28"/>
        </w:rPr>
      </w:pPr>
      <w:r>
        <w:rPr>
          <w:rFonts w:hint="eastAsia"/>
          <w:sz w:val="28"/>
          <w:szCs w:val="28"/>
          <w:lang w:val="en-US" w:eastAsia="zh-CN"/>
        </w:rPr>
        <w:t>9</w:t>
      </w:r>
      <w:r>
        <w:rPr>
          <w:rFonts w:hint="eastAsia"/>
          <w:sz w:val="28"/>
          <w:szCs w:val="28"/>
        </w:rPr>
        <w:t>、本项目不接受联合体投标。</w:t>
      </w:r>
    </w:p>
    <w:p>
      <w:pPr>
        <w:spacing w:line="360" w:lineRule="auto"/>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0" w:firstLineChars="200"/>
        <w:rPr>
          <w:sz w:val="28"/>
          <w:szCs w:val="28"/>
        </w:rPr>
      </w:pPr>
      <w:r>
        <w:rPr>
          <w:rFonts w:hint="eastAsia"/>
          <w:sz w:val="28"/>
          <w:szCs w:val="28"/>
        </w:rPr>
        <w:t>响应文件由投标函、报价一览表、资格证明文件、商务文件、技术文件五部分组成。</w:t>
      </w:r>
    </w:p>
    <w:p>
      <w:pPr>
        <w:spacing w:line="360" w:lineRule="auto"/>
        <w:ind w:firstLine="562" w:firstLineChars="200"/>
        <w:rPr>
          <w:b/>
          <w:sz w:val="28"/>
          <w:szCs w:val="28"/>
        </w:rPr>
      </w:pPr>
      <w:r>
        <w:rPr>
          <w:rFonts w:hint="eastAsia"/>
          <w:b/>
          <w:sz w:val="28"/>
          <w:szCs w:val="28"/>
        </w:rPr>
        <w:t>1.1 投标函部分</w:t>
      </w:r>
    </w:p>
    <w:p>
      <w:pPr>
        <w:spacing w:line="360" w:lineRule="auto"/>
        <w:ind w:firstLine="560" w:firstLineChars="200"/>
        <w:rPr>
          <w:sz w:val="28"/>
          <w:szCs w:val="28"/>
        </w:rPr>
      </w:pPr>
      <w:r>
        <w:rPr>
          <w:rFonts w:hint="eastAsia"/>
          <w:sz w:val="28"/>
          <w:szCs w:val="28"/>
        </w:rPr>
        <w:t>1.1.1 法定代表人签署的投标函（详见附件）</w:t>
      </w:r>
    </w:p>
    <w:p>
      <w:pPr>
        <w:spacing w:line="360" w:lineRule="auto"/>
        <w:ind w:firstLine="562" w:firstLineChars="200"/>
        <w:rPr>
          <w:b/>
          <w:sz w:val="28"/>
          <w:szCs w:val="28"/>
        </w:rPr>
      </w:pPr>
      <w:r>
        <w:rPr>
          <w:rFonts w:hint="eastAsia"/>
          <w:b/>
          <w:sz w:val="28"/>
          <w:szCs w:val="28"/>
        </w:rPr>
        <w:t>1.2 报价表</w:t>
      </w:r>
    </w:p>
    <w:p>
      <w:pPr>
        <w:spacing w:line="360" w:lineRule="auto"/>
        <w:ind w:firstLine="560" w:firstLineChars="200"/>
        <w:rPr>
          <w:sz w:val="28"/>
          <w:szCs w:val="28"/>
        </w:rPr>
      </w:pPr>
      <w:r>
        <w:rPr>
          <w:rFonts w:hint="eastAsia"/>
          <w:sz w:val="28"/>
          <w:szCs w:val="28"/>
        </w:rPr>
        <w:t>1.2.1 报价一览表（详见附件）</w:t>
      </w:r>
    </w:p>
    <w:p>
      <w:pPr>
        <w:spacing w:line="360" w:lineRule="auto"/>
        <w:ind w:firstLine="560" w:firstLineChars="200"/>
        <w:rPr>
          <w:sz w:val="28"/>
          <w:szCs w:val="28"/>
        </w:rPr>
      </w:pPr>
      <w:r>
        <w:rPr>
          <w:rFonts w:hint="eastAsia"/>
          <w:sz w:val="28"/>
          <w:szCs w:val="28"/>
        </w:rPr>
        <w:t>1.2.2 分项报价明细表（按功能模块报价，格式自拟）</w:t>
      </w:r>
    </w:p>
    <w:p>
      <w:pPr>
        <w:spacing w:line="360" w:lineRule="auto"/>
        <w:ind w:firstLine="562" w:firstLineChars="200"/>
        <w:rPr>
          <w:b/>
          <w:sz w:val="28"/>
          <w:szCs w:val="28"/>
        </w:rPr>
      </w:pPr>
      <w:r>
        <w:rPr>
          <w:rFonts w:hint="eastAsia"/>
          <w:b/>
          <w:sz w:val="28"/>
          <w:szCs w:val="28"/>
        </w:rPr>
        <w:t>1.3 资格证明文件</w:t>
      </w:r>
    </w:p>
    <w:p>
      <w:pPr>
        <w:spacing w:line="360" w:lineRule="auto"/>
        <w:ind w:firstLine="560" w:firstLineChars="200"/>
        <w:rPr>
          <w:sz w:val="28"/>
          <w:szCs w:val="28"/>
        </w:rPr>
      </w:pPr>
      <w:r>
        <w:rPr>
          <w:rFonts w:hint="eastAsia"/>
          <w:sz w:val="28"/>
          <w:szCs w:val="28"/>
        </w:rPr>
        <w:t>1.3.1 营业执照副本复印件（加盖公章）</w:t>
      </w:r>
      <w:r>
        <w:rPr>
          <w:rFonts w:hint="eastAsia"/>
          <w:b/>
          <w:sz w:val="28"/>
          <w:szCs w:val="28"/>
        </w:rPr>
        <w:t>（开标时提供原件备查）</w:t>
      </w:r>
      <w:r>
        <w:rPr>
          <w:rFonts w:hint="eastAsia"/>
          <w:sz w:val="28"/>
          <w:szCs w:val="28"/>
        </w:rPr>
        <w:t>；</w:t>
      </w:r>
    </w:p>
    <w:p>
      <w:pPr>
        <w:spacing w:line="360" w:lineRule="auto"/>
        <w:ind w:firstLine="560" w:firstLineChars="200"/>
        <w:rPr>
          <w:sz w:val="28"/>
          <w:szCs w:val="28"/>
        </w:rPr>
      </w:pPr>
      <w:r>
        <w:rPr>
          <w:rFonts w:hint="eastAsia"/>
          <w:sz w:val="28"/>
          <w:szCs w:val="28"/>
        </w:rPr>
        <w:t>1.3.2 法定代表人授权委托书（详见附件）；</w:t>
      </w:r>
    </w:p>
    <w:p>
      <w:pPr>
        <w:spacing w:line="360" w:lineRule="auto"/>
        <w:ind w:firstLine="560" w:firstLineChars="200"/>
        <w:rPr>
          <w:b/>
          <w:sz w:val="28"/>
          <w:szCs w:val="28"/>
        </w:rPr>
      </w:pPr>
      <w:r>
        <w:rPr>
          <w:rFonts w:hint="eastAsia"/>
          <w:sz w:val="28"/>
          <w:szCs w:val="28"/>
        </w:rPr>
        <w:t>1.3.4 财务状况报告的相关材料：</w:t>
      </w:r>
      <w:r>
        <w:rPr>
          <w:rFonts w:hint="eastAsia"/>
          <w:b/>
          <w:sz w:val="28"/>
          <w:szCs w:val="28"/>
        </w:rPr>
        <w:t>提供 201</w:t>
      </w:r>
      <w:r>
        <w:rPr>
          <w:rFonts w:hint="eastAsia"/>
          <w:b/>
          <w:sz w:val="28"/>
          <w:szCs w:val="28"/>
          <w:lang w:val="en-US" w:eastAsia="zh-CN"/>
        </w:rPr>
        <w:t>9</w:t>
      </w:r>
      <w:r>
        <w:rPr>
          <w:rFonts w:hint="eastAsia"/>
          <w:b/>
          <w:sz w:val="28"/>
          <w:szCs w:val="28"/>
        </w:rPr>
        <w:t>年度或20</w:t>
      </w:r>
      <w:r>
        <w:rPr>
          <w:rFonts w:hint="eastAsia"/>
          <w:b/>
          <w:sz w:val="28"/>
          <w:szCs w:val="28"/>
          <w:lang w:val="en-US" w:eastAsia="zh-CN"/>
        </w:rPr>
        <w:t>20</w:t>
      </w:r>
      <w:r>
        <w:rPr>
          <w:rFonts w:hint="eastAsia"/>
          <w:b/>
          <w:sz w:val="28"/>
          <w:szCs w:val="28"/>
        </w:rPr>
        <w:t>年度会计师事务所出具的年度财务报表或开户银行出具的资信证明复印件（加盖公章）；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1.3.5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1.3.6在“信用中国”(www.creditchina.gov.cn)、中国政府采购网(www.ccgp.gov.cn)、“信用山东”（www.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加盖投标单位公章；</w:t>
      </w:r>
    </w:p>
    <w:p>
      <w:pPr>
        <w:spacing w:line="360" w:lineRule="auto"/>
        <w:ind w:firstLine="560" w:firstLineChars="200"/>
        <w:rPr>
          <w:sz w:val="28"/>
          <w:szCs w:val="28"/>
        </w:rPr>
      </w:pPr>
      <w:r>
        <w:rPr>
          <w:rFonts w:hint="eastAsia"/>
          <w:sz w:val="28"/>
          <w:szCs w:val="28"/>
        </w:rPr>
        <w:t>1.3.7 无违法违规声明（详见附件）；</w:t>
      </w:r>
    </w:p>
    <w:p>
      <w:pPr>
        <w:spacing w:line="360" w:lineRule="auto"/>
        <w:ind w:firstLine="560" w:firstLineChars="200"/>
        <w:rPr>
          <w:sz w:val="28"/>
          <w:szCs w:val="28"/>
        </w:rPr>
      </w:pPr>
      <w:r>
        <w:rPr>
          <w:rFonts w:hint="eastAsia"/>
          <w:sz w:val="28"/>
          <w:szCs w:val="28"/>
        </w:rPr>
        <w:t>1.3.8 无不良信用记录承诺函（详见附件）；</w:t>
      </w:r>
    </w:p>
    <w:p>
      <w:pPr>
        <w:spacing w:line="360" w:lineRule="auto"/>
        <w:ind w:firstLine="560" w:firstLineChars="200"/>
        <w:rPr>
          <w:sz w:val="28"/>
          <w:szCs w:val="28"/>
        </w:rPr>
      </w:pPr>
      <w:r>
        <w:rPr>
          <w:rFonts w:hint="eastAsia"/>
          <w:sz w:val="28"/>
          <w:szCs w:val="28"/>
        </w:rPr>
        <w:t>1.3.9投标人认为需要提交的其它文件。</w:t>
      </w:r>
    </w:p>
    <w:p>
      <w:pPr>
        <w:spacing w:line="360" w:lineRule="auto"/>
        <w:ind w:firstLine="560" w:firstLineChars="200"/>
        <w:rPr>
          <w:sz w:val="28"/>
          <w:szCs w:val="28"/>
        </w:rPr>
      </w:pPr>
      <w:r>
        <w:rPr>
          <w:rFonts w:hint="eastAsia"/>
          <w:sz w:val="28"/>
          <w:szCs w:val="28"/>
        </w:rPr>
        <w:t>1.4 商务文件</w:t>
      </w:r>
    </w:p>
    <w:p>
      <w:pPr>
        <w:spacing w:line="360" w:lineRule="auto"/>
        <w:ind w:firstLine="562" w:firstLineChars="200"/>
        <w:rPr>
          <w:b/>
          <w:sz w:val="28"/>
          <w:szCs w:val="28"/>
        </w:rPr>
      </w:pPr>
      <w:r>
        <w:rPr>
          <w:rFonts w:hint="eastAsia"/>
          <w:b/>
          <w:sz w:val="28"/>
          <w:szCs w:val="28"/>
        </w:rPr>
        <w:t>1.4.1企业资产状况、信誉、综合实力等综合情况说明；</w:t>
      </w:r>
    </w:p>
    <w:p>
      <w:pPr>
        <w:spacing w:line="360" w:lineRule="auto"/>
        <w:ind w:firstLine="562" w:firstLineChars="200"/>
        <w:rPr>
          <w:b/>
          <w:sz w:val="28"/>
          <w:szCs w:val="28"/>
        </w:rPr>
      </w:pPr>
      <w:bookmarkStart w:id="0" w:name="OLE_LINK8"/>
      <w:r>
        <w:rPr>
          <w:rFonts w:hint="eastAsia"/>
          <w:b/>
          <w:sz w:val="28"/>
          <w:szCs w:val="28"/>
        </w:rPr>
        <w:t>1.4.2近三年（201</w:t>
      </w:r>
      <w:r>
        <w:rPr>
          <w:rFonts w:hint="eastAsia"/>
          <w:b/>
          <w:sz w:val="28"/>
          <w:szCs w:val="28"/>
          <w:lang w:val="en-US" w:eastAsia="zh-CN"/>
        </w:rPr>
        <w:t>8</w:t>
      </w:r>
      <w:r>
        <w:rPr>
          <w:rFonts w:hint="eastAsia"/>
          <w:b/>
          <w:sz w:val="28"/>
          <w:szCs w:val="28"/>
        </w:rPr>
        <w:t>年</w:t>
      </w:r>
      <w:r>
        <w:rPr>
          <w:rFonts w:hint="eastAsia"/>
          <w:b/>
          <w:sz w:val="28"/>
          <w:szCs w:val="28"/>
          <w:lang w:val="en-US" w:eastAsia="zh-CN"/>
        </w:rPr>
        <w:t>4月1日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1.4.3商务偏离表（详见附件）；</w:t>
      </w:r>
    </w:p>
    <w:p>
      <w:pPr>
        <w:spacing w:line="360" w:lineRule="auto"/>
        <w:ind w:firstLine="560" w:firstLineChars="200"/>
        <w:rPr>
          <w:sz w:val="28"/>
          <w:szCs w:val="28"/>
        </w:rPr>
      </w:pPr>
      <w:r>
        <w:rPr>
          <w:rFonts w:hint="eastAsia"/>
          <w:sz w:val="28"/>
          <w:szCs w:val="28"/>
        </w:rPr>
        <w:t>1.4.4供应商认为需要提交的其他资料。</w:t>
      </w:r>
    </w:p>
    <w:bookmarkEnd w:id="0"/>
    <w:p>
      <w:pPr>
        <w:spacing w:line="400" w:lineRule="exact"/>
        <w:ind w:firstLine="562" w:firstLineChars="200"/>
        <w:rPr>
          <w:b/>
          <w:sz w:val="28"/>
          <w:szCs w:val="28"/>
        </w:rPr>
      </w:pPr>
      <w:r>
        <w:rPr>
          <w:rFonts w:hint="eastAsia"/>
          <w:b/>
          <w:sz w:val="28"/>
          <w:szCs w:val="28"/>
        </w:rPr>
        <w:t>1.4 技术文件</w:t>
      </w:r>
    </w:p>
    <w:p>
      <w:pPr>
        <w:spacing w:line="360" w:lineRule="auto"/>
        <w:ind w:firstLine="560" w:firstLineChars="200"/>
        <w:rPr>
          <w:sz w:val="28"/>
          <w:szCs w:val="28"/>
        </w:rPr>
      </w:pPr>
      <w:r>
        <w:rPr>
          <w:rFonts w:hint="eastAsia"/>
          <w:sz w:val="28"/>
          <w:szCs w:val="28"/>
        </w:rPr>
        <w:t>1.4.1对本项目总体要求的理解；</w:t>
      </w:r>
    </w:p>
    <w:p>
      <w:pPr>
        <w:spacing w:line="360" w:lineRule="auto"/>
        <w:ind w:firstLine="560" w:firstLineChars="200"/>
        <w:rPr>
          <w:sz w:val="28"/>
          <w:szCs w:val="28"/>
        </w:rPr>
      </w:pPr>
      <w:r>
        <w:rPr>
          <w:rFonts w:hint="eastAsia"/>
          <w:sz w:val="28"/>
          <w:szCs w:val="28"/>
        </w:rPr>
        <w:t>1.4.2技术方案；</w:t>
      </w:r>
    </w:p>
    <w:p>
      <w:pPr>
        <w:spacing w:line="360" w:lineRule="auto"/>
        <w:ind w:firstLine="560" w:firstLineChars="200"/>
        <w:rPr>
          <w:sz w:val="28"/>
          <w:szCs w:val="28"/>
        </w:rPr>
      </w:pPr>
      <w:r>
        <w:rPr>
          <w:rFonts w:hint="eastAsia"/>
          <w:sz w:val="28"/>
          <w:szCs w:val="28"/>
        </w:rPr>
        <w:t>1.4.3</w:t>
      </w:r>
      <w:r>
        <w:rPr>
          <w:sz w:val="28"/>
          <w:szCs w:val="28"/>
        </w:rPr>
        <w:t>技术偏离表</w:t>
      </w:r>
      <w:r>
        <w:rPr>
          <w:rFonts w:hint="eastAsia"/>
          <w:sz w:val="28"/>
          <w:szCs w:val="28"/>
        </w:rPr>
        <w:t>（详见附件）</w:t>
      </w:r>
      <w:r>
        <w:rPr>
          <w:sz w:val="28"/>
          <w:szCs w:val="28"/>
        </w:rPr>
        <w:t>；</w:t>
      </w:r>
    </w:p>
    <w:p>
      <w:pPr>
        <w:spacing w:line="360" w:lineRule="auto"/>
        <w:ind w:firstLine="560" w:firstLineChars="200"/>
        <w:rPr>
          <w:sz w:val="28"/>
          <w:szCs w:val="28"/>
        </w:rPr>
      </w:pPr>
      <w:r>
        <w:rPr>
          <w:rFonts w:hint="eastAsia"/>
          <w:sz w:val="28"/>
          <w:szCs w:val="28"/>
        </w:rPr>
        <w:t>1.4.4项目实施人员（主要从业人员以及其技术资格）一览表；</w:t>
      </w:r>
    </w:p>
    <w:p>
      <w:pPr>
        <w:spacing w:line="360" w:lineRule="auto"/>
        <w:ind w:firstLine="560" w:firstLineChars="200"/>
        <w:rPr>
          <w:sz w:val="28"/>
          <w:szCs w:val="28"/>
        </w:rPr>
      </w:pPr>
      <w:r>
        <w:rPr>
          <w:rFonts w:hint="eastAsia"/>
          <w:sz w:val="28"/>
          <w:szCs w:val="28"/>
        </w:rPr>
        <w:t>1.4.5</w:t>
      </w:r>
      <w:r>
        <w:rPr>
          <w:sz w:val="28"/>
          <w:szCs w:val="28"/>
        </w:rPr>
        <w:t>售后服务内容</w:t>
      </w:r>
      <w:r>
        <w:rPr>
          <w:rFonts w:hint="eastAsia"/>
          <w:sz w:val="28"/>
          <w:szCs w:val="28"/>
        </w:rPr>
        <w:t>及</w:t>
      </w:r>
      <w:r>
        <w:rPr>
          <w:sz w:val="28"/>
          <w:szCs w:val="28"/>
        </w:rPr>
        <w:t>保证措施；</w:t>
      </w:r>
    </w:p>
    <w:p>
      <w:pPr>
        <w:spacing w:line="360" w:lineRule="auto"/>
        <w:ind w:firstLine="560" w:firstLineChars="200"/>
        <w:rPr>
          <w:sz w:val="28"/>
          <w:szCs w:val="28"/>
        </w:rPr>
      </w:pPr>
      <w:r>
        <w:rPr>
          <w:rFonts w:hint="eastAsia"/>
          <w:sz w:val="28"/>
          <w:szCs w:val="28"/>
        </w:rPr>
        <w:t>1.4.6培训方案；</w:t>
      </w:r>
    </w:p>
    <w:p>
      <w:pPr>
        <w:spacing w:line="360" w:lineRule="auto"/>
        <w:ind w:firstLine="560" w:firstLineChars="200"/>
        <w:rPr>
          <w:sz w:val="28"/>
          <w:szCs w:val="28"/>
        </w:rPr>
      </w:pPr>
      <w:r>
        <w:rPr>
          <w:rFonts w:hint="eastAsia"/>
          <w:sz w:val="28"/>
          <w:szCs w:val="28"/>
        </w:rPr>
        <w:t>1.4.7磋商文件要求或者供应商认为其它应介绍或者提交的资料和文件；</w:t>
      </w:r>
    </w:p>
    <w:p>
      <w:pPr>
        <w:spacing w:line="360" w:lineRule="auto"/>
        <w:ind w:firstLine="562" w:firstLineChars="200"/>
        <w:rPr>
          <w:b/>
          <w:sz w:val="28"/>
          <w:szCs w:val="28"/>
        </w:rPr>
      </w:pPr>
      <w:r>
        <w:rPr>
          <w:rFonts w:hint="eastAsia"/>
          <w:b/>
          <w:sz w:val="28"/>
          <w:szCs w:val="28"/>
        </w:rPr>
        <w:t>2、响应文件的编写方式</w:t>
      </w:r>
    </w:p>
    <w:p>
      <w:pPr>
        <w:spacing w:line="360" w:lineRule="auto"/>
        <w:ind w:firstLine="560" w:firstLineChars="200"/>
        <w:rPr>
          <w:sz w:val="28"/>
          <w:szCs w:val="28"/>
        </w:rPr>
      </w:pPr>
      <w:r>
        <w:rPr>
          <w:rFonts w:hint="eastAsia"/>
          <w:sz w:val="28"/>
          <w:szCs w:val="28"/>
        </w:rPr>
        <w:t>2.1 响应文件按以上顺序</w:t>
      </w:r>
      <w:r>
        <w:rPr>
          <w:rFonts w:hint="eastAsia"/>
          <w:b/>
          <w:bCs/>
          <w:sz w:val="28"/>
          <w:szCs w:val="28"/>
        </w:rPr>
        <w:t>胶装</w:t>
      </w:r>
      <w:r>
        <w:rPr>
          <w:rFonts w:hint="eastAsia"/>
          <w:sz w:val="28"/>
          <w:szCs w:val="28"/>
        </w:rPr>
        <w:t>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bCs/>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5.1本项目为交钥匙工程，供应商的报价应包含主件、标准附件、备品备件、专用工具、安装、调试、检验、培训、技术服务、运输、保险及因购买货物和服务所需缴纳的所有税费等全部费用。</w:t>
      </w:r>
    </w:p>
    <w:p>
      <w:pPr>
        <w:spacing w:line="360" w:lineRule="auto"/>
        <w:ind w:firstLine="560" w:firstLineChars="200"/>
        <w:rPr>
          <w:sz w:val="28"/>
          <w:szCs w:val="28"/>
        </w:rPr>
      </w:pPr>
      <w:r>
        <w:rPr>
          <w:rFonts w:hint="eastAsia"/>
          <w:sz w:val="28"/>
          <w:szCs w:val="28"/>
        </w:rPr>
        <w:t>5.2每一项目只允许有一个报价任何有选择的报价将不予接受。供应商未填单价或合价的项目，在实施后，采购人将不予以支付，并视作该项费用已包括在其他有价款的单价或合价内。</w:t>
      </w:r>
    </w:p>
    <w:p>
      <w:pPr>
        <w:spacing w:line="360" w:lineRule="auto"/>
        <w:ind w:firstLine="560" w:firstLineChars="200"/>
        <w:rPr>
          <w:rFonts w:hint="eastAsia" w:eastAsiaTheme="minorEastAsia"/>
          <w:sz w:val="28"/>
          <w:szCs w:val="28"/>
          <w:lang w:val="en-US" w:eastAsia="zh-CN"/>
        </w:rPr>
      </w:pPr>
      <w:r>
        <w:rPr>
          <w:rFonts w:hint="eastAsia"/>
          <w:sz w:val="28"/>
          <w:szCs w:val="28"/>
        </w:rPr>
        <w:t>5.3 响应文件的单价和金额应全部以人民币报出，报价中所有单价取小数点后两位，所有合价和总价精确到“元”。大写金额和小写金额不一致的，以大写金额为准</w:t>
      </w:r>
      <w:r>
        <w:rPr>
          <w:rFonts w:hint="eastAsia"/>
          <w:sz w:val="28"/>
          <w:szCs w:val="28"/>
          <w:lang w:eastAsia="zh-CN"/>
        </w:rPr>
        <w:t>。</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5.5供应商必须对所提供货物和服务等知识产权方面的一切产权关系负全部责任，由此而引起的法律纠纷以及费用供应商须全部承担。</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w:t>
      </w:r>
    </w:p>
    <w:p>
      <w:pPr>
        <w:spacing w:line="360" w:lineRule="auto"/>
        <w:ind w:firstLine="560" w:firstLineChars="200"/>
        <w:rPr>
          <w:sz w:val="28"/>
          <w:szCs w:val="28"/>
        </w:rPr>
      </w:pPr>
      <w:r>
        <w:rPr>
          <w:rFonts w:hint="eastAsia"/>
          <w:sz w:val="28"/>
          <w:szCs w:val="28"/>
        </w:rPr>
        <w:t>6.1.2 报价超过采购控制价；</w:t>
      </w:r>
    </w:p>
    <w:p>
      <w:pPr>
        <w:spacing w:line="360" w:lineRule="auto"/>
        <w:ind w:firstLine="560" w:firstLineChars="200"/>
        <w:rPr>
          <w:sz w:val="28"/>
          <w:szCs w:val="28"/>
        </w:rPr>
      </w:pPr>
      <w:r>
        <w:rPr>
          <w:rFonts w:hint="eastAsia"/>
          <w:sz w:val="28"/>
          <w:szCs w:val="28"/>
        </w:rPr>
        <w:t>6.1.3响应文件未按竞争性磋商文件的规定签署或密封、盖章的；</w:t>
      </w:r>
    </w:p>
    <w:p>
      <w:pPr>
        <w:spacing w:line="360" w:lineRule="auto"/>
        <w:ind w:firstLine="560" w:firstLineChars="200"/>
        <w:rPr>
          <w:sz w:val="28"/>
          <w:szCs w:val="28"/>
        </w:rPr>
      </w:pPr>
      <w:r>
        <w:rPr>
          <w:rFonts w:hint="eastAsia"/>
          <w:sz w:val="28"/>
          <w:szCs w:val="28"/>
        </w:rPr>
        <w:t>6.1.4报价一览表未加盖本单位公章、法定代表人或授权代表未签字的；</w:t>
      </w:r>
    </w:p>
    <w:p>
      <w:pPr>
        <w:spacing w:line="360" w:lineRule="auto"/>
        <w:ind w:firstLine="560" w:firstLineChars="200"/>
        <w:rPr>
          <w:sz w:val="28"/>
          <w:szCs w:val="28"/>
        </w:rPr>
      </w:pPr>
      <w:r>
        <w:rPr>
          <w:rFonts w:hint="eastAsia"/>
          <w:sz w:val="28"/>
          <w:szCs w:val="28"/>
        </w:rPr>
        <w:t>6.1.5供应商资格不符合竞争性磋商文件要求，未按竞争性磋商文件要求提供资格、资质证明文件的；</w:t>
      </w:r>
    </w:p>
    <w:p>
      <w:pPr>
        <w:spacing w:line="360" w:lineRule="auto"/>
        <w:ind w:firstLine="560" w:firstLineChars="200"/>
        <w:rPr>
          <w:sz w:val="28"/>
          <w:szCs w:val="28"/>
        </w:rPr>
      </w:pPr>
      <w:r>
        <w:rPr>
          <w:rFonts w:hint="eastAsia"/>
          <w:sz w:val="28"/>
          <w:szCs w:val="28"/>
        </w:rPr>
        <w:t>6.1.6响应文件载明的付款方式不满足竞争性磋商文件规定且不能被采购人接受；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6.1.7不符合竞争性磋商文件中规定的其他实质性要求；</w:t>
      </w:r>
    </w:p>
    <w:p>
      <w:pPr>
        <w:spacing w:line="360" w:lineRule="auto"/>
        <w:ind w:firstLine="560" w:firstLineChars="200"/>
        <w:rPr>
          <w:sz w:val="28"/>
          <w:szCs w:val="28"/>
        </w:rPr>
      </w:pPr>
      <w:r>
        <w:rPr>
          <w:rFonts w:hint="eastAsia"/>
          <w:sz w:val="28"/>
          <w:szCs w:val="28"/>
        </w:rPr>
        <w:t>6.1.8法律、法规规定的其他情况。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jc w:val="both"/>
        <w:rPr>
          <w:b/>
          <w:sz w:val="28"/>
          <w:szCs w:val="28"/>
        </w:rPr>
      </w:pPr>
    </w:p>
    <w:p>
      <w:pPr>
        <w:pStyle w:val="9"/>
        <w:numPr>
          <w:ilvl w:val="0"/>
          <w:numId w:val="1"/>
        </w:numPr>
        <w:ind w:firstLineChars="0"/>
        <w:jc w:val="center"/>
        <w:rPr>
          <w:b/>
          <w:sz w:val="28"/>
          <w:szCs w:val="28"/>
        </w:rPr>
      </w:pPr>
      <w:r>
        <w:rPr>
          <w:rFonts w:hint="eastAsia"/>
          <w:b/>
          <w:sz w:val="28"/>
          <w:szCs w:val="28"/>
        </w:rPr>
        <w:t>项目说明</w:t>
      </w:r>
    </w:p>
    <w:p>
      <w:pPr>
        <w:pStyle w:val="9"/>
        <w:numPr>
          <w:ilvl w:val="0"/>
          <w:numId w:val="2"/>
        </w:numPr>
        <w:ind w:firstLineChars="0"/>
        <w:rPr>
          <w:rFonts w:asciiTheme="minorEastAsia" w:hAnsiTheme="minorEastAsia"/>
          <w:b/>
          <w:sz w:val="28"/>
          <w:szCs w:val="28"/>
        </w:rPr>
      </w:pPr>
      <w:r>
        <w:rPr>
          <w:rFonts w:hint="eastAsia" w:asciiTheme="minorEastAsia" w:hAnsiTheme="minorEastAsia"/>
          <w:b/>
          <w:sz w:val="28"/>
          <w:szCs w:val="28"/>
        </w:rPr>
        <w:t>项目概况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b w:val="0"/>
          <w:bCs/>
          <w:sz w:val="28"/>
          <w:szCs w:val="28"/>
        </w:rPr>
      </w:pPr>
      <w:r>
        <w:rPr>
          <w:rFonts w:hint="eastAsia" w:asciiTheme="minorEastAsia" w:hAnsiTheme="minorEastAsia"/>
          <w:b w:val="0"/>
          <w:bCs/>
          <w:sz w:val="28"/>
          <w:szCs w:val="28"/>
        </w:rPr>
        <w:t>医院业务系统数据的备份,是医院信息化建设的必要手段,其目的就是当灾难到来的时候,可以进行灾难恢复,以降低或消除各种灾难对医院正常工作的影响。我院目前的应用服务器主要使用虚拟化平台，本次虚拟化容灾备份项目主要为实现我院虚拟化服务器的备份和接管。</w:t>
      </w:r>
    </w:p>
    <w:p>
      <w:pPr>
        <w:rPr>
          <w:rFonts w:asciiTheme="minorEastAsia" w:hAnsiTheme="minorEastAsia"/>
          <w:b/>
          <w:sz w:val="28"/>
          <w:szCs w:val="28"/>
        </w:rPr>
      </w:pPr>
      <w:r>
        <w:rPr>
          <w:rFonts w:hint="eastAsia" w:asciiTheme="minorEastAsia" w:hAnsiTheme="minorEastAsia"/>
          <w:b/>
          <w:sz w:val="28"/>
          <w:szCs w:val="28"/>
        </w:rPr>
        <w:t>二、采购控制价：</w:t>
      </w:r>
      <w:r>
        <w:rPr>
          <w:rFonts w:hint="eastAsia" w:asciiTheme="minorEastAsia" w:hAnsiTheme="minorEastAsia"/>
          <w:b/>
          <w:sz w:val="28"/>
          <w:szCs w:val="28"/>
          <w:lang w:val="en-US" w:eastAsia="zh-CN"/>
        </w:rPr>
        <w:t>45</w:t>
      </w:r>
      <w:r>
        <w:rPr>
          <w:rFonts w:hint="eastAsia" w:asciiTheme="minorEastAsia" w:hAnsiTheme="minorEastAsia"/>
          <w:b/>
          <w:sz w:val="28"/>
          <w:szCs w:val="28"/>
        </w:rPr>
        <w:t>万</w:t>
      </w:r>
    </w:p>
    <w:p>
      <w:pPr>
        <w:rPr>
          <w:rFonts w:asciiTheme="minorEastAsia" w:hAnsiTheme="minorEastAsia"/>
          <w:b/>
          <w:sz w:val="28"/>
          <w:szCs w:val="28"/>
        </w:rPr>
      </w:pPr>
      <w:r>
        <w:rPr>
          <w:rFonts w:hint="eastAsia" w:asciiTheme="minorEastAsia" w:hAnsiTheme="minorEastAsia"/>
          <w:b/>
          <w:sz w:val="28"/>
          <w:szCs w:val="28"/>
        </w:rPr>
        <w:t>三、实施周期</w:t>
      </w:r>
      <w:r>
        <w:rPr>
          <w:rFonts w:hint="eastAsia" w:asciiTheme="minorEastAsia" w:hAnsiTheme="minorEastAsia"/>
          <w:b/>
          <w:color w:val="auto"/>
          <w:sz w:val="28"/>
          <w:szCs w:val="28"/>
        </w:rPr>
        <w:t>：</w:t>
      </w:r>
      <w:r>
        <w:rPr>
          <w:rFonts w:hint="eastAsia" w:asciiTheme="minorEastAsia" w:hAnsiTheme="minorEastAsia"/>
          <w:b/>
          <w:color w:val="auto"/>
          <w:sz w:val="28"/>
          <w:szCs w:val="28"/>
          <w:shd w:val="clear" w:color="auto" w:fill="auto"/>
          <w:lang w:val="en-US" w:eastAsia="zh-CN"/>
        </w:rPr>
        <w:t>6</w:t>
      </w:r>
      <w:r>
        <w:rPr>
          <w:rFonts w:hint="eastAsia" w:asciiTheme="minorEastAsia" w:hAnsiTheme="minorEastAsia"/>
          <w:b/>
          <w:color w:val="auto"/>
          <w:sz w:val="28"/>
          <w:szCs w:val="28"/>
          <w:shd w:val="clear" w:color="auto" w:fill="auto"/>
        </w:rPr>
        <w:t>0日历日</w:t>
      </w:r>
    </w:p>
    <w:p>
      <w:pPr>
        <w:rPr>
          <w:rFonts w:hint="eastAsia" w:asciiTheme="minorEastAsia" w:hAnsiTheme="minorEastAsia"/>
          <w:b/>
          <w:sz w:val="28"/>
          <w:szCs w:val="28"/>
        </w:rPr>
      </w:pPr>
      <w:r>
        <w:rPr>
          <w:rFonts w:hint="eastAsia" w:asciiTheme="minorEastAsia" w:hAnsiTheme="minorEastAsia"/>
          <w:b/>
          <w:sz w:val="28"/>
          <w:szCs w:val="28"/>
          <w:lang w:val="en-US" w:eastAsia="zh-CN"/>
        </w:rPr>
        <w:t>四</w:t>
      </w:r>
      <w:r>
        <w:rPr>
          <w:rFonts w:hint="eastAsia" w:asciiTheme="minorEastAsia" w:hAnsiTheme="minorEastAsia"/>
          <w:b/>
          <w:sz w:val="28"/>
          <w:szCs w:val="28"/>
        </w:rPr>
        <w:t>、技术要求</w:t>
      </w:r>
    </w:p>
    <w:p>
      <w:pPr>
        <w:spacing w:after="160" w:line="360" w:lineRule="auto"/>
        <w:rPr>
          <w:rFonts w:ascii="宋体" w:hAnsi="宋体"/>
          <w:color w:val="000000" w:themeColor="text1"/>
          <w:sz w:val="24"/>
          <w:szCs w:val="24"/>
          <w14:textFill>
            <w14:solidFill>
              <w14:schemeClr w14:val="tx1"/>
            </w14:solidFill>
          </w14:textFill>
        </w:rPr>
      </w:pPr>
      <w:r>
        <w:rPr>
          <w:rFonts w:hint="eastAsia" w:ascii="宋体" w:hAnsi="宋体" w:cs="仿宋_GB2312"/>
          <w:b/>
          <w:color w:val="000000" w:themeColor="text1"/>
          <w:sz w:val="24"/>
          <w:szCs w:val="24"/>
          <w14:textFill>
            <w14:solidFill>
              <w14:schemeClr w14:val="tx1"/>
            </w14:solidFill>
          </w14:textFill>
        </w:rPr>
        <w:t>1、总体要求</w:t>
      </w:r>
    </w:p>
    <w:p>
      <w:pPr>
        <w:spacing w:line="360" w:lineRule="auto"/>
        <w:rPr>
          <w:rFonts w:ascii="宋体" w:hAnsi="宋体" w:cs="Segoe UI"/>
          <w:color w:val="000000" w:themeColor="text1"/>
          <w:sz w:val="24"/>
          <w:szCs w:val="24"/>
          <w:shd w:val="clear" w:color="auto" w:fill="FFFFFF"/>
          <w14:textFill>
            <w14:solidFill>
              <w14:schemeClr w14:val="tx1"/>
            </w14:solidFill>
          </w14:textFill>
        </w:rPr>
      </w:pPr>
      <w:r>
        <w:rPr>
          <w:rFonts w:ascii="宋体" w:hAnsi="宋体" w:cs="Segoe UI"/>
          <w:color w:val="000000" w:themeColor="text1"/>
          <w:sz w:val="24"/>
          <w:szCs w:val="24"/>
          <w:shd w:val="clear" w:color="auto" w:fill="FFFFFF"/>
          <w14:textFill>
            <w14:solidFill>
              <w14:schemeClr w14:val="tx1"/>
            </w14:solidFill>
          </w14:textFill>
        </w:rPr>
        <w:t>（1）</w:t>
      </w:r>
      <w:r>
        <w:rPr>
          <w:rFonts w:hint="eastAsia" w:ascii="宋体" w:hAnsi="宋体" w:cs="Segoe UI"/>
          <w:color w:val="000000" w:themeColor="text1"/>
          <w:sz w:val="24"/>
          <w:szCs w:val="24"/>
          <w:shd w:val="clear" w:color="auto" w:fill="FFFFFF"/>
          <w14:textFill>
            <w14:solidFill>
              <w14:schemeClr w14:val="tx1"/>
            </w14:solidFill>
          </w14:textFill>
        </w:rPr>
        <w:t>虚拟化主机节点的数据备份</w:t>
      </w:r>
    </w:p>
    <w:p>
      <w:pPr>
        <w:spacing w:line="360" w:lineRule="auto"/>
        <w:ind w:firstLine="480" w:firstLineChars="200"/>
        <w:rPr>
          <w:rFonts w:ascii="宋体" w:hAnsi="宋体" w:cs="Segoe UI"/>
          <w:color w:val="000000" w:themeColor="text1"/>
          <w:sz w:val="24"/>
          <w:szCs w:val="24"/>
          <w:shd w:val="clear" w:color="auto" w:fill="FFFFFF"/>
          <w14:textFill>
            <w14:solidFill>
              <w14:schemeClr w14:val="tx1"/>
            </w14:solidFill>
          </w14:textFill>
        </w:rPr>
      </w:pPr>
      <w:r>
        <w:rPr>
          <w:rFonts w:hint="eastAsia" w:ascii="宋体" w:hAnsi="宋体" w:cs="Segoe UI"/>
          <w:color w:val="000000" w:themeColor="text1"/>
          <w:sz w:val="24"/>
          <w:szCs w:val="24"/>
          <w:shd w:val="clear" w:color="auto" w:fill="FFFFFF"/>
          <w14:textFill>
            <w14:solidFill>
              <w14:schemeClr w14:val="tx1"/>
            </w14:solidFill>
          </w14:textFill>
        </w:rPr>
        <w:t>能够支持大于3</w:t>
      </w:r>
      <w:r>
        <w:rPr>
          <w:rFonts w:ascii="宋体" w:hAnsi="宋体" w:cs="Segoe UI"/>
          <w:color w:val="000000" w:themeColor="text1"/>
          <w:sz w:val="24"/>
          <w:szCs w:val="24"/>
          <w:shd w:val="clear" w:color="auto" w:fill="FFFFFF"/>
          <w14:textFill>
            <w14:solidFill>
              <w14:schemeClr w14:val="tx1"/>
            </w14:solidFill>
          </w14:textFill>
        </w:rPr>
        <w:t>0个</w:t>
      </w:r>
      <w:r>
        <w:rPr>
          <w:rFonts w:hint="eastAsia" w:ascii="宋体" w:hAnsi="宋体" w:cs="Segoe UI"/>
          <w:color w:val="000000" w:themeColor="text1"/>
          <w:sz w:val="24"/>
          <w:szCs w:val="24"/>
          <w:shd w:val="clear" w:color="auto" w:fill="FFFFFF"/>
          <w14:textFill>
            <w14:solidFill>
              <w14:schemeClr w14:val="tx1"/>
            </w14:solidFill>
          </w14:textFill>
        </w:rPr>
        <w:t>虚拟化主机节点</w:t>
      </w:r>
      <w:r>
        <w:rPr>
          <w:rFonts w:ascii="宋体" w:hAnsi="宋体" w:cs="Segoe UI"/>
          <w:color w:val="000000" w:themeColor="text1"/>
          <w:sz w:val="24"/>
          <w:szCs w:val="24"/>
          <w:shd w:val="clear" w:color="auto" w:fill="FFFFFF"/>
          <w14:textFill>
            <w14:solidFill>
              <w14:schemeClr w14:val="tx1"/>
            </w14:solidFill>
          </w14:textFill>
        </w:rPr>
        <w:t>的数据备份</w:t>
      </w:r>
      <w:r>
        <w:rPr>
          <w:rFonts w:hint="eastAsia" w:ascii="宋体" w:hAnsi="宋体" w:cs="Segoe UI"/>
          <w:color w:val="000000" w:themeColor="text1"/>
          <w:sz w:val="24"/>
          <w:szCs w:val="24"/>
          <w:shd w:val="clear" w:color="auto" w:fill="FFFFFF"/>
          <w14:textFill>
            <w14:solidFill>
              <w14:schemeClr w14:val="tx1"/>
            </w14:solidFill>
          </w14:textFill>
        </w:rPr>
        <w:t>，硬盘空间不少于9</w:t>
      </w:r>
      <w:r>
        <w:rPr>
          <w:rFonts w:ascii="宋体" w:hAnsi="宋体" w:cs="Segoe UI"/>
          <w:color w:val="000000" w:themeColor="text1"/>
          <w:sz w:val="24"/>
          <w:szCs w:val="24"/>
          <w:shd w:val="clear" w:color="auto" w:fill="FFFFFF"/>
          <w14:textFill>
            <w14:solidFill>
              <w14:schemeClr w14:val="tx1"/>
            </w14:solidFill>
          </w14:textFill>
        </w:rPr>
        <w:t>6T</w:t>
      </w:r>
      <w:r>
        <w:rPr>
          <w:rFonts w:hint="eastAsia" w:ascii="宋体" w:hAnsi="宋体" w:cs="Segoe UI"/>
          <w:color w:val="000000" w:themeColor="text1"/>
          <w:sz w:val="24"/>
          <w:szCs w:val="24"/>
          <w:shd w:val="clear" w:color="auto" w:fill="FFFFFF"/>
          <w14:textFill>
            <w14:solidFill>
              <w14:schemeClr w14:val="tx1"/>
            </w14:solidFill>
          </w14:textFill>
        </w:rPr>
        <w:t>。主机节点</w:t>
      </w:r>
      <w:r>
        <w:rPr>
          <w:rFonts w:asciiTheme="minorEastAsia" w:hAnsiTheme="minorEastAsia"/>
          <w:bCs/>
          <w:sz w:val="24"/>
          <w:szCs w:val="24"/>
        </w:rPr>
        <w:t>要求</w:t>
      </w:r>
      <w:r>
        <w:rPr>
          <w:rFonts w:cs="宋体" w:asciiTheme="minorEastAsia" w:hAnsiTheme="minorEastAsia"/>
          <w:sz w:val="24"/>
          <w:szCs w:val="24"/>
        </w:rPr>
        <w:t>每天</w:t>
      </w:r>
      <w:r>
        <w:rPr>
          <w:rFonts w:hint="eastAsia" w:cs="宋体" w:asciiTheme="minorEastAsia" w:hAnsiTheme="minorEastAsia"/>
          <w:sz w:val="24"/>
          <w:szCs w:val="24"/>
        </w:rPr>
        <w:t>保存</w:t>
      </w:r>
      <w:r>
        <w:rPr>
          <w:rFonts w:cs="宋体" w:asciiTheme="minorEastAsia" w:hAnsiTheme="minorEastAsia"/>
          <w:sz w:val="24"/>
          <w:szCs w:val="24"/>
        </w:rPr>
        <w:t>增量备份</w:t>
      </w:r>
      <w:r>
        <w:rPr>
          <w:rFonts w:hint="eastAsia" w:cs="宋体" w:asciiTheme="minorEastAsia" w:hAnsiTheme="minorEastAsia"/>
          <w:sz w:val="24"/>
          <w:szCs w:val="24"/>
        </w:rPr>
        <w:t>，</w:t>
      </w:r>
      <w:r>
        <w:rPr>
          <w:rFonts w:cs="宋体" w:asciiTheme="minorEastAsia" w:hAnsiTheme="minorEastAsia"/>
          <w:sz w:val="24"/>
          <w:szCs w:val="24"/>
        </w:rPr>
        <w:t>每周</w:t>
      </w:r>
      <w:r>
        <w:rPr>
          <w:rFonts w:hint="eastAsia" w:cs="宋体" w:asciiTheme="minorEastAsia" w:hAnsiTheme="minorEastAsia"/>
          <w:sz w:val="24"/>
          <w:szCs w:val="24"/>
        </w:rPr>
        <w:t>保存</w:t>
      </w:r>
      <w:r>
        <w:rPr>
          <w:rFonts w:cs="宋体" w:asciiTheme="minorEastAsia" w:hAnsiTheme="minorEastAsia"/>
          <w:sz w:val="24"/>
          <w:szCs w:val="24"/>
        </w:rPr>
        <w:t>一次完整的数据备份</w:t>
      </w:r>
      <w:r>
        <w:rPr>
          <w:rFonts w:hint="eastAsia" w:cs="宋体" w:asciiTheme="minorEastAsia" w:hAnsiTheme="minorEastAsia"/>
          <w:sz w:val="24"/>
          <w:szCs w:val="24"/>
        </w:rPr>
        <w:t>，至少保存三个完整备份副本。</w:t>
      </w:r>
    </w:p>
    <w:p>
      <w:pPr>
        <w:spacing w:line="360" w:lineRule="auto"/>
        <w:outlineLvl w:val="0"/>
        <w:rPr>
          <w:rFonts w:ascii="宋体" w:hAnsi="宋体" w:cs="Segoe UI"/>
          <w:color w:val="000000" w:themeColor="text1"/>
          <w:sz w:val="24"/>
          <w:szCs w:val="24"/>
          <w:shd w:val="clear" w:color="auto" w:fill="FFFFFF"/>
          <w14:textFill>
            <w14:solidFill>
              <w14:schemeClr w14:val="tx1"/>
            </w14:solidFill>
          </w14:textFill>
        </w:rPr>
      </w:pPr>
      <w:r>
        <w:rPr>
          <w:rFonts w:ascii="宋体" w:hAnsi="宋体" w:cs="Segoe UI"/>
          <w:color w:val="000000" w:themeColor="text1"/>
          <w:sz w:val="24"/>
          <w:szCs w:val="24"/>
          <w:shd w:val="clear" w:color="auto" w:fill="FFFFFF"/>
          <w14:textFill>
            <w14:solidFill>
              <w14:schemeClr w14:val="tx1"/>
            </w14:solidFill>
          </w14:textFill>
        </w:rPr>
        <w:t>（2）</w:t>
      </w:r>
      <w:r>
        <w:rPr>
          <w:rFonts w:hint="eastAsia" w:ascii="宋体" w:hAnsi="宋体" w:cs="Segoe UI"/>
          <w:color w:val="000000" w:themeColor="text1"/>
          <w:sz w:val="24"/>
          <w:szCs w:val="24"/>
          <w:shd w:val="clear" w:color="auto" w:fill="FFFFFF"/>
          <w14:textFill>
            <w14:solidFill>
              <w14:schemeClr w14:val="tx1"/>
            </w14:solidFill>
          </w14:textFill>
        </w:rPr>
        <w:t>虚拟化主机节点</w:t>
      </w:r>
      <w:r>
        <w:rPr>
          <w:rFonts w:ascii="宋体" w:hAnsi="宋体" w:cs="Segoe UI"/>
          <w:color w:val="000000" w:themeColor="text1"/>
          <w:sz w:val="24"/>
          <w:szCs w:val="24"/>
          <w:shd w:val="clear" w:color="auto" w:fill="FFFFFF"/>
          <w14:textFill>
            <w14:solidFill>
              <w14:schemeClr w14:val="tx1"/>
            </w14:solidFill>
          </w14:textFill>
        </w:rPr>
        <w:t>的数据恢复</w:t>
      </w:r>
    </w:p>
    <w:p>
      <w:pPr>
        <w:spacing w:line="360" w:lineRule="auto"/>
        <w:ind w:firstLine="480" w:firstLineChars="200"/>
        <w:rPr>
          <w:rFonts w:ascii="宋体" w:hAnsi="宋体" w:cs="Segoe UI"/>
          <w:color w:val="000000" w:themeColor="text1"/>
          <w:sz w:val="24"/>
          <w:szCs w:val="24"/>
          <w:shd w:val="clear" w:color="auto" w:fill="FFFFFF"/>
          <w14:textFill>
            <w14:solidFill>
              <w14:schemeClr w14:val="tx1"/>
            </w14:solidFill>
          </w14:textFill>
        </w:rPr>
      </w:pPr>
      <w:r>
        <w:rPr>
          <w:rFonts w:hint="eastAsia" w:ascii="宋体" w:hAnsi="宋体" w:cs="Segoe UI"/>
          <w:color w:val="000000" w:themeColor="text1"/>
          <w:sz w:val="24"/>
          <w:szCs w:val="24"/>
          <w:shd w:val="clear" w:color="auto" w:fill="FFFFFF"/>
          <w14:textFill>
            <w14:solidFill>
              <w14:schemeClr w14:val="tx1"/>
            </w14:solidFill>
          </w14:textFill>
        </w:rPr>
        <w:t>能够实现虚拟化主机节点数据恢复功能，当主机节点数据遭遇意外状况时，能够通过备份副本进行数据恢复，</w:t>
      </w:r>
      <w:r>
        <w:rPr>
          <w:rFonts w:hint="eastAsia" w:asciiTheme="minorEastAsia" w:hAnsiTheme="minorEastAsia"/>
          <w:bCs/>
          <w:sz w:val="24"/>
          <w:szCs w:val="24"/>
        </w:rPr>
        <w:t>保障数据的可用性、完整性</w:t>
      </w:r>
      <w:r>
        <w:rPr>
          <w:rFonts w:hint="eastAsia" w:ascii="宋体" w:hAnsi="宋体" w:cs="Segoe UI"/>
          <w:color w:val="000000" w:themeColor="text1"/>
          <w:sz w:val="24"/>
          <w:szCs w:val="24"/>
          <w:shd w:val="clear" w:color="auto" w:fill="FFFFFF"/>
          <w14:textFill>
            <w14:solidFill>
              <w14:schemeClr w14:val="tx1"/>
            </w14:solidFill>
          </w14:textFill>
        </w:rPr>
        <w:t>。</w:t>
      </w:r>
    </w:p>
    <w:p>
      <w:pPr>
        <w:spacing w:line="360" w:lineRule="auto"/>
        <w:outlineLvl w:val="0"/>
        <w:rPr>
          <w:rFonts w:ascii="宋体" w:hAnsi="宋体" w:cs="Segoe UI"/>
          <w:color w:val="000000" w:themeColor="text1"/>
          <w:sz w:val="24"/>
          <w:szCs w:val="24"/>
          <w:shd w:val="clear" w:color="auto" w:fill="FFFFFF"/>
          <w14:textFill>
            <w14:solidFill>
              <w14:schemeClr w14:val="tx1"/>
            </w14:solidFill>
          </w14:textFill>
        </w:rPr>
      </w:pPr>
      <w:r>
        <w:rPr>
          <w:rFonts w:ascii="宋体" w:hAnsi="宋体" w:cs="Segoe UI"/>
          <w:color w:val="000000" w:themeColor="text1"/>
          <w:sz w:val="24"/>
          <w:szCs w:val="24"/>
          <w:shd w:val="clear" w:color="auto" w:fill="FFFFFF"/>
          <w14:textFill>
            <w14:solidFill>
              <w14:schemeClr w14:val="tx1"/>
            </w14:solidFill>
          </w14:textFill>
        </w:rPr>
        <w:t>（3）</w:t>
      </w:r>
      <w:r>
        <w:rPr>
          <w:rFonts w:hint="eastAsia" w:ascii="宋体" w:hAnsi="宋体" w:cs="Segoe UI"/>
          <w:color w:val="000000" w:themeColor="text1"/>
          <w:sz w:val="24"/>
          <w:szCs w:val="24"/>
          <w:shd w:val="clear" w:color="auto" w:fill="FFFFFF"/>
          <w14:textFill>
            <w14:solidFill>
              <w14:schemeClr w14:val="tx1"/>
            </w14:solidFill>
          </w14:textFill>
        </w:rPr>
        <w:t>虚拟化主机节点</w:t>
      </w:r>
      <w:r>
        <w:rPr>
          <w:rFonts w:ascii="宋体" w:hAnsi="宋体" w:cs="Segoe UI"/>
          <w:color w:val="000000" w:themeColor="text1"/>
          <w:sz w:val="24"/>
          <w:szCs w:val="24"/>
          <w:shd w:val="clear" w:color="auto" w:fill="FFFFFF"/>
          <w14:textFill>
            <w14:solidFill>
              <w14:schemeClr w14:val="tx1"/>
            </w14:solidFill>
          </w14:textFill>
        </w:rPr>
        <w:t>业务接管</w:t>
      </w:r>
    </w:p>
    <w:p>
      <w:pPr>
        <w:spacing w:line="360" w:lineRule="auto"/>
        <w:ind w:firstLine="480" w:firstLineChars="200"/>
        <w:rPr>
          <w:rFonts w:asciiTheme="minorEastAsia" w:hAnsiTheme="minorEastAsia"/>
          <w:bCs/>
          <w:sz w:val="24"/>
          <w:szCs w:val="24"/>
        </w:rPr>
      </w:pPr>
      <w:r>
        <w:rPr>
          <w:rFonts w:hint="eastAsia" w:ascii="宋体" w:hAnsi="宋体" w:cs="Segoe UI"/>
          <w:color w:val="000000" w:themeColor="text1"/>
          <w:sz w:val="24"/>
          <w:szCs w:val="24"/>
          <w:shd w:val="clear" w:color="auto" w:fill="FFFFFF"/>
          <w14:textFill>
            <w14:solidFill>
              <w14:schemeClr w14:val="tx1"/>
            </w14:solidFill>
          </w14:textFill>
        </w:rPr>
        <w:t>能够实现大于等于5台虚拟化主机节点发生故障时进行数据接管，内存不低于2</w:t>
      </w:r>
      <w:r>
        <w:rPr>
          <w:rFonts w:ascii="宋体" w:hAnsi="宋体" w:cs="Segoe UI"/>
          <w:color w:val="000000" w:themeColor="text1"/>
          <w:sz w:val="24"/>
          <w:szCs w:val="24"/>
          <w:shd w:val="clear" w:color="auto" w:fill="FFFFFF"/>
          <w14:textFill>
            <w14:solidFill>
              <w14:schemeClr w14:val="tx1"/>
            </w14:solidFill>
          </w14:textFill>
        </w:rPr>
        <w:t>56GB</w:t>
      </w:r>
      <w:r>
        <w:rPr>
          <w:rFonts w:hint="eastAsia" w:ascii="宋体" w:hAnsi="宋体" w:cs="Segoe UI"/>
          <w:color w:val="000000" w:themeColor="text1"/>
          <w:sz w:val="24"/>
          <w:szCs w:val="24"/>
          <w:shd w:val="clear" w:color="auto" w:fill="FFFFFF"/>
          <w14:textFill>
            <w14:solidFill>
              <w14:schemeClr w14:val="tx1"/>
            </w14:solidFill>
          </w14:textFill>
        </w:rPr>
        <w:t>。主机节点数据遭遇意外状况时，能够快速进行业务接管</w:t>
      </w:r>
      <w:r>
        <w:rPr>
          <w:rFonts w:hint="eastAsia" w:asciiTheme="minorEastAsia" w:hAnsiTheme="minorEastAsia"/>
          <w:bCs/>
          <w:sz w:val="24"/>
          <w:szCs w:val="24"/>
        </w:rPr>
        <w:t>保障业务连续性、可用性。</w:t>
      </w:r>
    </w:p>
    <w:p>
      <w:pPr>
        <w:spacing w:line="360" w:lineRule="auto"/>
        <w:outlineLvl w:val="0"/>
        <w:rPr>
          <w:rFonts w:ascii="宋体" w:hAnsi="宋体" w:cs="Segoe UI"/>
          <w:color w:val="000000" w:themeColor="text1"/>
          <w:sz w:val="24"/>
          <w:szCs w:val="24"/>
          <w:shd w:val="clear" w:color="auto" w:fill="FFFFFF"/>
          <w14:textFill>
            <w14:solidFill>
              <w14:schemeClr w14:val="tx1"/>
            </w14:solidFill>
          </w14:textFill>
        </w:rPr>
      </w:pPr>
      <w:r>
        <w:rPr>
          <w:rFonts w:ascii="宋体" w:hAnsi="宋体" w:cs="Segoe UI"/>
          <w:color w:val="000000" w:themeColor="text1"/>
          <w:sz w:val="24"/>
          <w:szCs w:val="24"/>
          <w:shd w:val="clear" w:color="auto" w:fill="FFFFFF"/>
          <w14:textFill>
            <w14:solidFill>
              <w14:schemeClr w14:val="tx1"/>
            </w14:solidFill>
          </w14:textFill>
        </w:rPr>
        <w:t>（4）灾备演练</w:t>
      </w:r>
      <w:r>
        <w:rPr>
          <w:rFonts w:hint="eastAsia" w:ascii="宋体" w:hAnsi="宋体" w:cs="Segoe UI"/>
          <w:color w:val="000000" w:themeColor="text1"/>
          <w:sz w:val="24"/>
          <w:szCs w:val="24"/>
          <w:shd w:val="clear" w:color="auto" w:fill="FFFFFF"/>
          <w14:textFill>
            <w14:solidFill>
              <w14:schemeClr w14:val="tx1"/>
            </w14:solidFill>
          </w14:textFill>
        </w:rPr>
        <w:t>及技术支持</w:t>
      </w:r>
    </w:p>
    <w:p>
      <w:pPr>
        <w:spacing w:line="360" w:lineRule="auto"/>
        <w:ind w:firstLine="480" w:firstLineChars="200"/>
        <w:rPr>
          <w:rFonts w:asciiTheme="minorEastAsia" w:hAnsiTheme="minorEastAsia"/>
          <w:bCs/>
          <w:sz w:val="24"/>
          <w:szCs w:val="24"/>
        </w:rPr>
      </w:pPr>
      <w:r>
        <w:rPr>
          <w:rFonts w:hint="eastAsia" w:ascii="宋体" w:hAnsi="宋体" w:cs="Segoe UI"/>
          <w:color w:val="000000" w:themeColor="text1"/>
          <w:sz w:val="24"/>
          <w:szCs w:val="24"/>
          <w:shd w:val="clear" w:color="auto" w:fill="FFFFFF"/>
          <w14:textFill>
            <w14:solidFill>
              <w14:schemeClr w14:val="tx1"/>
            </w14:solidFill>
          </w14:textFill>
        </w:rPr>
        <w:t>投标人应协助用户和厂家一起，每季度进行容灾备份恢复演练</w:t>
      </w:r>
      <w:r>
        <w:rPr>
          <w:rFonts w:hint="eastAsia" w:asciiTheme="minorEastAsia" w:hAnsiTheme="minorEastAsia"/>
          <w:bCs/>
          <w:sz w:val="24"/>
          <w:szCs w:val="24"/>
        </w:rPr>
        <w:t>。提供原厂3年免费质保，7*</w:t>
      </w:r>
      <w:r>
        <w:rPr>
          <w:rFonts w:asciiTheme="minorEastAsia" w:hAnsiTheme="minorEastAsia"/>
          <w:bCs/>
          <w:sz w:val="24"/>
          <w:szCs w:val="24"/>
        </w:rPr>
        <w:t>24小时服务</w:t>
      </w:r>
      <w:r>
        <w:rPr>
          <w:rFonts w:hint="eastAsia" w:asciiTheme="minorEastAsia" w:hAnsiTheme="minorEastAsia"/>
          <w:bCs/>
          <w:sz w:val="24"/>
          <w:szCs w:val="24"/>
        </w:rPr>
        <w:t>，</w:t>
      </w:r>
      <w:r>
        <w:rPr>
          <w:rFonts w:asciiTheme="minorEastAsia" w:hAnsiTheme="minorEastAsia"/>
          <w:bCs/>
          <w:sz w:val="24"/>
          <w:szCs w:val="24"/>
        </w:rPr>
        <w:t>十分钟内响应</w:t>
      </w:r>
      <w:r>
        <w:rPr>
          <w:rFonts w:hint="eastAsia" w:asciiTheme="minorEastAsia" w:hAnsiTheme="minorEastAsia"/>
          <w:bCs/>
          <w:sz w:val="24"/>
          <w:szCs w:val="24"/>
        </w:rPr>
        <w:t>，6小时内到达现场。</w:t>
      </w:r>
    </w:p>
    <w:p>
      <w:pPr>
        <w:spacing w:line="360" w:lineRule="auto"/>
        <w:rPr>
          <w:rFonts w:ascii="宋体" w:hAnsi="宋体" w:cs="Segoe UI"/>
          <w:color w:val="000000" w:themeColor="text1"/>
          <w:sz w:val="24"/>
          <w:szCs w:val="24"/>
          <w:shd w:val="clear" w:color="auto" w:fill="FFFFFF"/>
          <w14:textFill>
            <w14:solidFill>
              <w14:schemeClr w14:val="tx1"/>
            </w14:solidFill>
          </w14:textFill>
        </w:rPr>
      </w:pPr>
      <w:r>
        <w:rPr>
          <w:rFonts w:ascii="宋体" w:hAnsi="宋体" w:cs="Segoe UI"/>
          <w:color w:val="000000" w:themeColor="text1"/>
          <w:sz w:val="24"/>
          <w:szCs w:val="24"/>
          <w:shd w:val="clear" w:color="auto" w:fill="FFFFFF"/>
          <w14:textFill>
            <w14:solidFill>
              <w14:schemeClr w14:val="tx1"/>
            </w14:solidFill>
          </w14:textFill>
        </w:rPr>
        <w:t>（5）满足医疗行业信息化评审要求</w:t>
      </w:r>
    </w:p>
    <w:p>
      <w:pPr>
        <w:spacing w:line="360" w:lineRule="auto"/>
        <w:rPr>
          <w:rFonts w:ascii="宋体" w:hAnsi="宋体" w:cs="Segoe UI"/>
          <w:color w:val="000000" w:themeColor="text1"/>
          <w:sz w:val="24"/>
          <w:szCs w:val="24"/>
          <w:shd w:val="clear" w:color="auto" w:fill="FFFFFF"/>
          <w14:textFill>
            <w14:solidFill>
              <w14:schemeClr w14:val="tx1"/>
            </w14:solidFill>
          </w14:textFill>
        </w:rPr>
      </w:pPr>
      <w:r>
        <w:rPr>
          <w:rFonts w:hint="eastAsia" w:ascii="宋体" w:hAnsi="宋体" w:cs="Segoe UI"/>
          <w:color w:val="000000" w:themeColor="text1"/>
          <w:sz w:val="24"/>
          <w:szCs w:val="24"/>
          <w:shd w:val="clear" w:color="auto" w:fill="FFFFFF"/>
          <w14:textFill>
            <w14:solidFill>
              <w14:schemeClr w14:val="tx1"/>
            </w14:solidFill>
          </w14:textFill>
        </w:rPr>
        <w:t>数据恢复能力应满足，RTO(恢复时间目标)≤4小时；RPO(恢复点目标) ≤</w:t>
      </w:r>
      <w:r>
        <w:rPr>
          <w:rFonts w:ascii="宋体" w:hAnsi="宋体" w:cs="Segoe UI"/>
          <w:color w:val="000000" w:themeColor="text1"/>
          <w:sz w:val="24"/>
          <w:szCs w:val="24"/>
          <w:shd w:val="clear" w:color="auto" w:fill="FFFFFF"/>
          <w14:textFill>
            <w14:solidFill>
              <w14:schemeClr w14:val="tx1"/>
            </w14:solidFill>
          </w14:textFill>
        </w:rPr>
        <w:t>6</w:t>
      </w:r>
      <w:r>
        <w:rPr>
          <w:rFonts w:hint="eastAsia" w:ascii="宋体" w:hAnsi="宋体" w:cs="Segoe UI"/>
          <w:color w:val="000000" w:themeColor="text1"/>
          <w:sz w:val="24"/>
          <w:szCs w:val="24"/>
          <w:shd w:val="clear" w:color="auto" w:fill="FFFFFF"/>
          <w14:textFill>
            <w14:solidFill>
              <w14:schemeClr w14:val="tx1"/>
            </w14:solidFill>
          </w14:textFill>
        </w:rPr>
        <w:t>小时。产品还需满足《互联医院信息互联互通标准化成熟度测评四级甲等》及《电子病历系统应用水平分级评价四级》中的相关评审要求。</w:t>
      </w:r>
    </w:p>
    <w:p>
      <w:pPr>
        <w:spacing w:line="360" w:lineRule="auto"/>
        <w:rPr>
          <w:rFonts w:ascii="宋体" w:hAnsi="宋体" w:cs="Segoe UI"/>
          <w:b/>
          <w:color w:val="000000" w:themeColor="text1"/>
          <w:sz w:val="24"/>
          <w:szCs w:val="24"/>
          <w:shd w:val="clear" w:color="auto" w:fill="FFFFFF"/>
          <w14:textFill>
            <w14:solidFill>
              <w14:schemeClr w14:val="tx1"/>
            </w14:solidFill>
          </w14:textFill>
        </w:rPr>
      </w:pPr>
      <w:r>
        <w:rPr>
          <w:rFonts w:hint="eastAsia" w:ascii="宋体" w:hAnsi="宋体" w:cs="Segoe UI"/>
          <w:b/>
          <w:color w:val="000000" w:themeColor="text1"/>
          <w:sz w:val="24"/>
          <w:szCs w:val="24"/>
          <w:shd w:val="clear" w:color="auto" w:fill="FFFFFF"/>
          <w14:textFill>
            <w14:solidFill>
              <w14:schemeClr w14:val="tx1"/>
            </w14:solidFill>
          </w14:textFill>
        </w:rPr>
        <w:t>2、技术要求</w:t>
      </w:r>
    </w:p>
    <w:tbl>
      <w:tblPr>
        <w:tblStyle w:val="6"/>
        <w:tblW w:w="8088" w:type="dxa"/>
        <w:tblInd w:w="0" w:type="dxa"/>
        <w:tblLayout w:type="autofit"/>
        <w:tblCellMar>
          <w:top w:w="0" w:type="dxa"/>
          <w:left w:w="0" w:type="dxa"/>
          <w:bottom w:w="0" w:type="dxa"/>
          <w:right w:w="0" w:type="dxa"/>
        </w:tblCellMar>
      </w:tblPr>
      <w:tblGrid>
        <w:gridCol w:w="575"/>
        <w:gridCol w:w="1134"/>
        <w:gridCol w:w="6379"/>
      </w:tblGrid>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hint="eastAsia" w:ascii="宋体" w:hAnsi="宋体" w:cs="宋体"/>
                <w:sz w:val="24"/>
                <w:szCs w:val="24"/>
              </w:rPr>
              <w:t>序号</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hint="eastAsia" w:ascii="宋体" w:hAnsi="宋体" w:cs="宋体"/>
                <w:sz w:val="24"/>
                <w:szCs w:val="24"/>
              </w:rPr>
              <w:t>指标项</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jc w:val="center"/>
              <w:rPr>
                <w:rFonts w:ascii="宋体" w:hAnsi="宋体" w:cs="宋体"/>
                <w:sz w:val="24"/>
                <w:szCs w:val="24"/>
              </w:rPr>
            </w:pPr>
            <w:r>
              <w:rPr>
                <w:rFonts w:hint="eastAsia" w:ascii="宋体" w:hAnsi="宋体" w:cs="宋体"/>
                <w:sz w:val="24"/>
                <w:szCs w:val="24"/>
              </w:rPr>
              <w:t>功能要求</w:t>
            </w:r>
          </w:p>
        </w:tc>
      </w:tr>
      <w:tr>
        <w:tblPrEx>
          <w:tblCellMar>
            <w:top w:w="0" w:type="dxa"/>
            <w:left w:w="0" w:type="dxa"/>
            <w:bottom w:w="0" w:type="dxa"/>
            <w:right w:w="0" w:type="dxa"/>
          </w:tblCellMar>
        </w:tblPrEx>
        <w:trPr>
          <w:trHeight w:val="981" w:hRule="atLeast"/>
        </w:trPr>
        <w:tc>
          <w:tcPr>
            <w:tcW w:w="575" w:type="dxa"/>
            <w:tcBorders>
              <w:top w:val="single" w:color="000000" w:sz="4" w:space="0"/>
              <w:left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hint="eastAsia" w:ascii="宋体" w:hAnsi="宋体" w:cs="宋体"/>
                <w:sz w:val="24"/>
                <w:szCs w:val="24"/>
              </w:rPr>
              <w:t>1</w:t>
            </w:r>
          </w:p>
        </w:tc>
        <w:tc>
          <w:tcPr>
            <w:tcW w:w="1134" w:type="dxa"/>
            <w:tcBorders>
              <w:top w:val="single" w:color="000000" w:sz="4" w:space="0"/>
              <w:left w:val="single" w:color="000000" w:sz="4" w:space="0"/>
              <w:bottom w:val="nil"/>
              <w:right w:val="single" w:color="000000" w:sz="4" w:space="0"/>
            </w:tcBorders>
            <w:tcMar>
              <w:top w:w="8" w:type="dxa"/>
              <w:left w:w="8" w:type="dxa"/>
              <w:right w:w="8" w:type="dxa"/>
            </w:tcMar>
            <w:vAlign w:val="center"/>
          </w:tcPr>
          <w:p>
            <w:pPr>
              <w:rPr>
                <w:rFonts w:ascii="宋体" w:hAnsi="宋体" w:cs="宋体"/>
                <w:sz w:val="24"/>
                <w:szCs w:val="24"/>
              </w:rPr>
            </w:pPr>
            <w:r>
              <w:rPr>
                <w:rFonts w:hint="eastAsia" w:ascii="宋体" w:hAnsi="宋体"/>
                <w:bCs/>
                <w:kern w:val="0"/>
                <w:sz w:val="24"/>
                <w:szCs w:val="24"/>
              </w:rPr>
              <w:t>品牌</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1、必须拥有完全自主知识产权，国产非OEM产品，需支持中文、英文等多语言操作界面。</w:t>
            </w:r>
          </w:p>
        </w:tc>
      </w:tr>
      <w:tr>
        <w:tblPrEx>
          <w:tblCellMar>
            <w:top w:w="0" w:type="dxa"/>
            <w:left w:w="0" w:type="dxa"/>
            <w:bottom w:w="0" w:type="dxa"/>
            <w:right w:w="0" w:type="dxa"/>
          </w:tblCellMar>
        </w:tblPrEx>
        <w:trPr>
          <w:trHeight w:val="408"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hint="eastAsia" w:ascii="宋体" w:hAnsi="宋体" w:cs="宋体"/>
                <w:sz w:val="24"/>
                <w:szCs w:val="24"/>
              </w:rPr>
              <w:t>2</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hint="eastAsia" w:ascii="宋体" w:hAnsi="宋体"/>
                <w:bCs/>
                <w:kern w:val="0"/>
                <w:sz w:val="24"/>
                <w:szCs w:val="24"/>
              </w:rPr>
              <w:t>硬件配置</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超融合架构，本次配置1节点，接入原持续数据保护灾备平台，规格要求如下：</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1、外观规格：≥2U机架高度；</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2</w:t>
            </w:r>
            <w:r>
              <w:rPr>
                <w:rFonts w:hint="eastAsia" w:ascii="宋体" w:hAnsi="宋体" w:cs="Segoe UI"/>
                <w:color w:val="333333"/>
                <w:sz w:val="24"/>
                <w:szCs w:val="24"/>
                <w:shd w:val="clear" w:color="auto" w:fill="FFFFFF"/>
              </w:rPr>
              <w:t>、处理器：配置≥2颗Intel Xeon 4110处理器（8C/2.1G）；</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内存：配置≥256GB ECC DDR4；</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3、主机接口：配置≥2个1Gbps千兆网口，配置≥2个10Gb主机接口（光口，含光模块）</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4</w:t>
            </w:r>
            <w:r>
              <w:rPr>
                <w:rFonts w:hint="eastAsia" w:ascii="宋体" w:hAnsi="宋体" w:cs="Segoe UI"/>
                <w:color w:val="333333"/>
                <w:sz w:val="24"/>
                <w:szCs w:val="24"/>
                <w:shd w:val="clear" w:color="auto" w:fill="FFFFFF"/>
              </w:rPr>
              <w:t>、硬盘：配置≥12块8TB 企业级硬盘，配置≥</w:t>
            </w:r>
            <w:r>
              <w:rPr>
                <w:rFonts w:ascii="宋体" w:hAnsi="宋体" w:cs="Segoe UI"/>
                <w:color w:val="333333"/>
                <w:sz w:val="24"/>
                <w:szCs w:val="24"/>
                <w:shd w:val="clear" w:color="auto" w:fill="FFFFFF"/>
              </w:rPr>
              <w:t>4</w:t>
            </w:r>
            <w:r>
              <w:rPr>
                <w:rFonts w:hint="eastAsia" w:ascii="宋体" w:hAnsi="宋体" w:cs="Segoe UI"/>
                <w:color w:val="333333"/>
                <w:sz w:val="24"/>
                <w:szCs w:val="24"/>
                <w:shd w:val="clear" w:color="auto" w:fill="FFFFFF"/>
              </w:rPr>
              <w:t>块2.5英寸10K 1.8T SAS；</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5、电源：热插拔冗余电源。</w:t>
            </w:r>
          </w:p>
        </w:tc>
      </w:tr>
      <w:tr>
        <w:tblPrEx>
          <w:tblCellMar>
            <w:top w:w="0" w:type="dxa"/>
            <w:left w:w="0" w:type="dxa"/>
            <w:bottom w:w="0" w:type="dxa"/>
            <w:right w:w="0" w:type="dxa"/>
          </w:tblCellMar>
        </w:tblPrEx>
        <w:trPr>
          <w:trHeight w:val="315" w:hRule="atLeast"/>
        </w:trPr>
        <w:tc>
          <w:tcPr>
            <w:tcW w:w="575"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hint="eastAsia" w:ascii="宋体" w:hAnsi="宋体" w:cs="宋体"/>
                <w:sz w:val="24"/>
                <w:szCs w:val="24"/>
              </w:rPr>
              <w:t>3</w:t>
            </w:r>
          </w:p>
        </w:tc>
        <w:tc>
          <w:tcPr>
            <w:tcW w:w="1134"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hint="eastAsia"/>
              </w:rPr>
              <w:t>软件</w:t>
            </w:r>
            <w:r>
              <w:t>配置</w:t>
            </w:r>
          </w:p>
        </w:tc>
        <w:tc>
          <w:tcPr>
            <w:tcW w:w="6379"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1、配置不限数量数据库授权许可，提供Oracle/SQL/My SQL/Sybase/DB2/SAP/Exchange/ Louts Notes等各主流数据库的灾备授权。</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2、配置不限数量文件授权许可，提供Windows环境下的单一文件独立备份授权。</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3</w:t>
            </w:r>
            <w:r>
              <w:rPr>
                <w:rFonts w:hint="eastAsia" w:ascii="宋体" w:hAnsi="宋体" w:cs="Segoe UI"/>
                <w:color w:val="333333"/>
                <w:sz w:val="24"/>
                <w:szCs w:val="24"/>
                <w:shd w:val="clear" w:color="auto" w:fill="FFFFFF"/>
              </w:rPr>
              <w:t>、配置重复数据删除授权许可，提供无限容量重复数据删除功能，要求基于JPEG格式下的备份去重率达到100:1。</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4、扩容原持续数据保护系统实时保护授权≥3TB，同时提供对应可用存储空间。</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5</w:t>
            </w:r>
            <w:r>
              <w:rPr>
                <w:rFonts w:hint="eastAsia" w:ascii="宋体" w:hAnsi="宋体" w:cs="Segoe UI"/>
                <w:color w:val="333333"/>
                <w:sz w:val="24"/>
                <w:szCs w:val="24"/>
                <w:shd w:val="clear" w:color="auto" w:fill="FFFFFF"/>
              </w:rPr>
              <w:t>、配置无代理的虚机灾备主模块。</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6、配置存储虚拟化授权许可，要求支持基于iSCSI、FC、SCSI、SAS、InfiniBand等存储整合，配置分级存储管理授权。</w:t>
            </w:r>
          </w:p>
        </w:tc>
      </w:tr>
      <w:tr>
        <w:tblPrEx>
          <w:tblCellMar>
            <w:top w:w="0" w:type="dxa"/>
            <w:left w:w="0" w:type="dxa"/>
            <w:bottom w:w="0" w:type="dxa"/>
            <w:right w:w="0" w:type="dxa"/>
          </w:tblCellMar>
        </w:tblPrEx>
        <w:trPr>
          <w:trHeight w:val="2680"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p>
        </w:tc>
        <w:tc>
          <w:tcPr>
            <w:tcW w:w="113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p>
        </w:tc>
        <w:tc>
          <w:tcPr>
            <w:tcW w:w="637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15" w:hRule="atLeast"/>
        </w:trPr>
        <w:tc>
          <w:tcPr>
            <w:tcW w:w="575"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hint="eastAsia" w:ascii="宋体" w:hAnsi="宋体" w:cs="宋体"/>
                <w:sz w:val="24"/>
                <w:szCs w:val="24"/>
              </w:rPr>
              <w:t>4</w:t>
            </w:r>
          </w:p>
        </w:tc>
        <w:tc>
          <w:tcPr>
            <w:tcW w:w="1134"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r>
              <w:rPr>
                <w:rFonts w:hint="eastAsia"/>
              </w:rPr>
              <w:t>架构</w:t>
            </w:r>
          </w:p>
        </w:tc>
        <w:tc>
          <w:tcPr>
            <w:tcW w:w="6379"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1、容灾平台为超融合体系架构，支持计算资源和存储资源的横向扩展（Scale-out），采用</w:t>
            </w:r>
            <w:r>
              <w:rPr>
                <w:rFonts w:ascii="宋体" w:hAnsi="宋体" w:cs="Segoe UI"/>
                <w:color w:val="333333"/>
                <w:sz w:val="24"/>
                <w:szCs w:val="24"/>
                <w:shd w:val="clear" w:color="auto" w:fill="FFFFFF"/>
              </w:rPr>
              <w:t>统一命名空间技术，</w:t>
            </w:r>
            <w:r>
              <w:rPr>
                <w:rFonts w:hint="eastAsia" w:ascii="宋体" w:hAnsi="宋体" w:cs="Segoe UI"/>
                <w:color w:val="333333"/>
                <w:sz w:val="24"/>
                <w:szCs w:val="24"/>
                <w:shd w:val="clear" w:color="auto" w:fill="FFFFFF"/>
              </w:rPr>
              <w:t>支持PB级容量扩展。</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2、容灾备份软件</w:t>
            </w:r>
            <w:r>
              <w:rPr>
                <w:rFonts w:ascii="宋体" w:hAnsi="宋体" w:cs="Segoe UI"/>
                <w:color w:val="333333"/>
                <w:sz w:val="24"/>
                <w:szCs w:val="24"/>
                <w:shd w:val="clear" w:color="auto" w:fill="FFFFFF"/>
              </w:rPr>
              <w:t>基于S</w:t>
            </w:r>
            <w:r>
              <w:rPr>
                <w:rFonts w:hint="eastAsia" w:ascii="宋体" w:hAnsi="宋体" w:cs="Segoe UI"/>
                <w:color w:val="333333"/>
                <w:sz w:val="24"/>
                <w:szCs w:val="24"/>
                <w:shd w:val="clear" w:color="auto" w:fill="FFFFFF"/>
              </w:rPr>
              <w:t>ingle Linux 操作系统，具备主动病毒防御功能。</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3、支持灾备平台自身的计算资源、存储资源在线动态扩展，扩展过程必须不影响灾备平台运行，扩展过程无需停机，扩展完成后计算资源、存储资源立即可用；扩展需不改变灾备平台架构，无需对灾备平台进行调整。</w:t>
            </w:r>
          </w:p>
        </w:tc>
      </w:tr>
      <w:tr>
        <w:tblPrEx>
          <w:tblCellMar>
            <w:top w:w="0" w:type="dxa"/>
            <w:left w:w="0" w:type="dxa"/>
            <w:bottom w:w="0" w:type="dxa"/>
            <w:right w:w="0" w:type="dxa"/>
          </w:tblCellMar>
        </w:tblPrEx>
        <w:trPr>
          <w:trHeight w:val="315"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p>
        </w:tc>
        <w:tc>
          <w:tcPr>
            <w:tcW w:w="113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p>
        </w:tc>
        <w:tc>
          <w:tcPr>
            <w:tcW w:w="637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15"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p>
        </w:tc>
        <w:tc>
          <w:tcPr>
            <w:tcW w:w="113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p>
        </w:tc>
        <w:tc>
          <w:tcPr>
            <w:tcW w:w="637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788"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p>
        </w:tc>
        <w:tc>
          <w:tcPr>
            <w:tcW w:w="113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p>
        </w:tc>
        <w:tc>
          <w:tcPr>
            <w:tcW w:w="637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12"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p>
        </w:tc>
        <w:tc>
          <w:tcPr>
            <w:tcW w:w="113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p>
        </w:tc>
        <w:tc>
          <w:tcPr>
            <w:tcW w:w="637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p>
        </w:tc>
      </w:tr>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hint="eastAsia" w:ascii="宋体" w:hAnsi="宋体" w:cs="宋体"/>
                <w:sz w:val="24"/>
                <w:szCs w:val="24"/>
              </w:rPr>
              <w:t>5</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outlineLvl w:val="0"/>
              <w:rPr>
                <w:rFonts w:ascii="宋体" w:hAnsi="宋体"/>
                <w:bCs/>
                <w:kern w:val="0"/>
                <w:sz w:val="24"/>
                <w:szCs w:val="24"/>
              </w:rPr>
            </w:pPr>
            <w:r>
              <w:rPr>
                <w:rFonts w:hint="eastAsia"/>
              </w:rPr>
              <w:t>数据安全</w:t>
            </w:r>
          </w:p>
          <w:p>
            <w:pPr>
              <w:rPr>
                <w:rFonts w:ascii="宋体" w:hAnsi="宋体" w:cs="宋体"/>
                <w:sz w:val="24"/>
                <w:szCs w:val="24"/>
              </w:rPr>
            </w:pP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r>
              <w:rPr>
                <w:rFonts w:hint="eastAsia"/>
                <w:sz w:val="24"/>
                <w:szCs w:val="28"/>
              </w:rPr>
              <w:t>1、支持备份数据加密存储，数据无法直接查看，只允许通过灾备平台进行查看。</w:t>
            </w:r>
          </w:p>
        </w:tc>
      </w:tr>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hint="eastAsia" w:ascii="宋体" w:hAnsi="宋体" w:cs="宋体"/>
                <w:sz w:val="24"/>
                <w:szCs w:val="24"/>
              </w:rPr>
              <w:t>6</w:t>
            </w:r>
          </w:p>
        </w:tc>
        <w:tc>
          <w:tcPr>
            <w:tcW w:w="1134" w:type="dxa"/>
            <w:tcBorders>
              <w:top w:val="single" w:color="000000" w:sz="4" w:space="0"/>
              <w:left w:val="single" w:color="000000" w:sz="4" w:space="0"/>
              <w:right w:val="single" w:color="000000" w:sz="4" w:space="0"/>
            </w:tcBorders>
            <w:tcMar>
              <w:top w:w="8" w:type="dxa"/>
              <w:left w:w="8" w:type="dxa"/>
              <w:right w:w="8" w:type="dxa"/>
            </w:tcMar>
            <w:vAlign w:val="center"/>
          </w:tcPr>
          <w:p>
            <w:pPr>
              <w:outlineLvl w:val="0"/>
              <w:rPr>
                <w:rFonts w:ascii="宋体" w:hAnsi="宋体"/>
                <w:bCs/>
                <w:kern w:val="0"/>
                <w:sz w:val="24"/>
                <w:szCs w:val="24"/>
              </w:rPr>
            </w:pPr>
            <w:r>
              <w:rPr>
                <w:rFonts w:hint="eastAsia" w:ascii="宋体" w:hAnsi="宋体"/>
                <w:bCs/>
                <w:sz w:val="24"/>
                <w:szCs w:val="24"/>
              </w:rPr>
              <w:t>数据库及文件备份</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jc w:val="left"/>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1、支持Oracle/DB2/Sybase/SQL Server/MySQL/Informix/</w:t>
            </w:r>
          </w:p>
          <w:p>
            <w:pPr>
              <w:jc w:val="left"/>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Lotus/Exchange等数据库的备份与恢复；支持南大通用、人大金仓、武汉达梦、神州奥斯卡、TRS 等国产数据库的备份与恢复。</w:t>
            </w:r>
          </w:p>
          <w:p>
            <w:pPr>
              <w:jc w:val="left"/>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2、支持Oracle/Sybase/Informix/SQL Server等数据库的图形化在线备份，配置Oracle RMAN模块，无须任何脚本，无须通过命令行方式，采用全图形化方式进行数据库备份或恢复作业。</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3</w:t>
            </w:r>
            <w:r>
              <w:rPr>
                <w:rFonts w:hint="eastAsia" w:ascii="宋体" w:hAnsi="宋体" w:cs="Segoe UI"/>
                <w:color w:val="333333"/>
                <w:sz w:val="24"/>
                <w:szCs w:val="24"/>
                <w:shd w:val="clear" w:color="auto" w:fill="FFFFFF"/>
              </w:rPr>
              <w:t>、可对文件及数据库进行block级别重复数据删除，节省存储空间。</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4、备份管理软件对Oracle/SQL或 Exchange等一次性备份后，既可恢复数据库又可恢复单个文件或单个表空间。</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5、可以与常用的服务器集群软件例如：HP Service Guard、IBM HACMP、Sun Cluster；以及数据库集群软件Oracle 10/11/12 RAC协调工作，能够自动根据集群的切换转换备份的目标服务器；备份文档恢复时候，支持采用全文检索方式，通过文档的内容或者关键字找到备份的文档，加快数据恢复的速度和提升恢复的效率，有效管理备份数据。</w:t>
            </w:r>
          </w:p>
          <w:p>
            <w:pPr>
              <w:rPr>
                <w:rFonts w:ascii="宋体" w:hAnsi="宋体" w:cs="Segoe UI"/>
                <w:color w:val="333333"/>
                <w:sz w:val="24"/>
                <w:szCs w:val="24"/>
                <w:shd w:val="clear" w:color="auto" w:fill="FFFFFF"/>
              </w:rPr>
            </w:pPr>
          </w:p>
        </w:tc>
      </w:tr>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hint="eastAsia" w:ascii="宋体" w:hAnsi="宋体" w:cs="宋体"/>
                <w:sz w:val="24"/>
                <w:szCs w:val="24"/>
              </w:rPr>
              <w:t>7</w:t>
            </w:r>
          </w:p>
        </w:tc>
        <w:tc>
          <w:tcPr>
            <w:tcW w:w="1134" w:type="dxa"/>
            <w:tcBorders>
              <w:top w:val="single" w:color="000000" w:sz="4" w:space="0"/>
              <w:left w:val="single" w:color="000000" w:sz="4" w:space="0"/>
              <w:right w:val="single" w:color="000000" w:sz="4" w:space="0"/>
            </w:tcBorders>
            <w:tcMar>
              <w:top w:w="8" w:type="dxa"/>
              <w:left w:w="8" w:type="dxa"/>
              <w:right w:w="8" w:type="dxa"/>
            </w:tcMar>
            <w:vAlign w:val="center"/>
          </w:tcPr>
          <w:p>
            <w:pPr>
              <w:outlineLvl w:val="0"/>
              <w:rPr>
                <w:rFonts w:ascii="宋体" w:hAnsi="宋体" w:cs="Segoe UI"/>
                <w:color w:val="333333"/>
                <w:sz w:val="24"/>
                <w:szCs w:val="24"/>
                <w:shd w:val="clear" w:color="auto" w:fill="FFFFFF"/>
              </w:rPr>
            </w:pPr>
            <w:r>
              <w:rPr>
                <w:rFonts w:hint="eastAsia" w:ascii="宋体" w:hAnsi="宋体"/>
                <w:bCs/>
                <w:sz w:val="24"/>
                <w:szCs w:val="24"/>
              </w:rPr>
              <w:t>虚拟化备份</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本次实现虚拟化平台的无代理保护，虚拟机保护可同时开启重删和压缩功能，不限容量；配置LAN-FREE功能；每节点均配置一键式瞬时恢复业务模块、配置在线迁移模块；提供主机和集群、虚拟机和模板等多种虚拟机展示方式，便于进行虚拟机备份选择；支持对处于运行、停止、暂停等各种状态的虚拟机进行备份；支持完全备份、差异备份、增量备份、永久增量备份等模式。</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2</w:t>
            </w:r>
            <w:r>
              <w:rPr>
                <w:rFonts w:hint="eastAsia" w:ascii="宋体" w:hAnsi="宋体" w:cs="Segoe UI"/>
                <w:color w:val="333333"/>
                <w:sz w:val="24"/>
                <w:szCs w:val="24"/>
                <w:shd w:val="clear" w:color="auto" w:fill="FFFFFF"/>
              </w:rPr>
              <w:t>、★支持VMware、XenServer、Incloud Sphere、H3C、vGate、红帽RHV、Ovirt、深信服等虚拟化平台备份数据点的瞬时恢复，支持在秒级时间内从任意备份点(完备/增备/差备)在生产系统构建虚拟机并正常运行（提供产品功能截图并</w:t>
            </w:r>
            <w:r>
              <w:rPr>
                <w:rFonts w:hint="eastAsia" w:ascii="宋体" w:hAnsi="宋体" w:cs="Segoe UI"/>
                <w:b/>
                <w:bCs/>
                <w:color w:val="333333"/>
                <w:sz w:val="24"/>
                <w:szCs w:val="24"/>
                <w:shd w:val="clear" w:color="auto" w:fill="FFFFFF"/>
              </w:rPr>
              <w:t>加盖原厂章</w:t>
            </w:r>
            <w:r>
              <w:rPr>
                <w:rFonts w:hint="eastAsia" w:ascii="宋体" w:hAnsi="宋体" w:cs="Segoe UI"/>
                <w:color w:val="333333"/>
                <w:sz w:val="24"/>
                <w:szCs w:val="24"/>
                <w:shd w:val="clear" w:color="auto" w:fill="FFFFFF"/>
              </w:rPr>
              <w:t>）。</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3</w:t>
            </w:r>
            <w:r>
              <w:rPr>
                <w:rFonts w:hint="eastAsia" w:ascii="宋体" w:hAnsi="宋体" w:cs="Segoe UI"/>
                <w:color w:val="333333"/>
                <w:sz w:val="24"/>
                <w:szCs w:val="24"/>
                <w:shd w:val="clear" w:color="auto" w:fill="FFFFFF"/>
              </w:rPr>
              <w:t>、支持压缩消重后的任意备份点(完备/增备/差备)恢复；</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4、★支持自定义特征点备份模式，对特征点的数据进行永久保存（提供产品功能截图</w:t>
            </w:r>
            <w:r>
              <w:rPr>
                <w:rFonts w:hint="eastAsia" w:ascii="宋体" w:hAnsi="宋体" w:cs="Segoe UI"/>
                <w:b/>
                <w:bCs/>
                <w:color w:val="333333"/>
                <w:sz w:val="24"/>
                <w:szCs w:val="24"/>
                <w:shd w:val="clear" w:color="auto" w:fill="FFFFFF"/>
              </w:rPr>
              <w:t>并加盖原厂章）</w:t>
            </w:r>
            <w:r>
              <w:rPr>
                <w:rFonts w:hint="eastAsia" w:ascii="宋体" w:hAnsi="宋体" w:cs="Segoe UI"/>
                <w:color w:val="333333"/>
                <w:sz w:val="24"/>
                <w:szCs w:val="24"/>
                <w:shd w:val="clear" w:color="auto" w:fill="FFFFFF"/>
              </w:rPr>
              <w:t>。</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5</w:t>
            </w:r>
            <w:r>
              <w:rPr>
                <w:rFonts w:hint="eastAsia" w:ascii="宋体" w:hAnsi="宋体" w:cs="Segoe UI"/>
                <w:color w:val="333333"/>
                <w:sz w:val="24"/>
                <w:szCs w:val="24"/>
                <w:shd w:val="clear" w:color="auto" w:fill="FFFFFF"/>
              </w:rPr>
              <w:t>、支持与vCenter和VMware API完全集成，具备直接从VMware vCenter界面进行备份、恢复及瞬时恢复。</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6、支持XenServer独立宿主机及池环境下的备份。</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7、支持在池/集群环境下虚拟机漂移的自动发现和备份，无需人工干预。</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8</w:t>
            </w:r>
            <w:r>
              <w:rPr>
                <w:rFonts w:hint="eastAsia" w:ascii="宋体" w:hAnsi="宋体" w:cs="Segoe UI"/>
                <w:color w:val="333333"/>
                <w:sz w:val="24"/>
                <w:szCs w:val="24"/>
                <w:shd w:val="clear" w:color="auto" w:fill="FFFFFF"/>
              </w:rPr>
              <w:t>、支持每日，每周，每月及一次性备份策略；支持CBT(变化块跟踪)，减少备份数据。</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9</w:t>
            </w:r>
            <w:r>
              <w:rPr>
                <w:rFonts w:hint="eastAsia" w:ascii="宋体" w:hAnsi="宋体" w:cs="Segoe UI"/>
                <w:color w:val="333333"/>
                <w:sz w:val="24"/>
                <w:szCs w:val="24"/>
                <w:shd w:val="clear" w:color="auto" w:fill="FFFFFF"/>
              </w:rPr>
              <w:t>、支持局域网、Internet等网络环境中非稳定网络链路的数据断点续传。</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10</w:t>
            </w:r>
            <w:r>
              <w:rPr>
                <w:rFonts w:hint="eastAsia" w:ascii="宋体" w:hAnsi="宋体" w:cs="Segoe UI"/>
                <w:color w:val="333333"/>
                <w:sz w:val="24"/>
                <w:szCs w:val="24"/>
                <w:shd w:val="clear" w:color="auto" w:fill="FFFFFF"/>
              </w:rPr>
              <w:t>、提供可灵活选择块大小的重复数据删除功能；支持对差异备点及增量备份点恢复时数据消重。</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11</w:t>
            </w:r>
            <w:r>
              <w:rPr>
                <w:rFonts w:hint="eastAsia" w:ascii="宋体" w:hAnsi="宋体" w:cs="Segoe UI"/>
                <w:color w:val="333333"/>
                <w:sz w:val="24"/>
                <w:szCs w:val="24"/>
                <w:shd w:val="clear" w:color="auto" w:fill="FFFFFF"/>
              </w:rPr>
              <w:t>、★提供对Citrix XenServer、Incloud Sphere、KVM、红帽RHV、Ovirt虚拟机的高速备份、普通备份模式两种备份模式。（提供高速备份模式以及普通备份模式功能截图</w:t>
            </w:r>
            <w:r>
              <w:rPr>
                <w:rFonts w:hint="eastAsia" w:ascii="宋体" w:hAnsi="宋体" w:cs="Segoe UI"/>
                <w:b/>
                <w:bCs/>
                <w:color w:val="333333"/>
                <w:sz w:val="24"/>
                <w:szCs w:val="24"/>
                <w:shd w:val="clear" w:color="auto" w:fill="FFFFFF"/>
              </w:rPr>
              <w:t>并加盖原厂章</w:t>
            </w:r>
            <w:r>
              <w:rPr>
                <w:rFonts w:hint="eastAsia" w:ascii="宋体" w:hAnsi="宋体" w:cs="Segoe UI"/>
                <w:color w:val="333333"/>
                <w:sz w:val="24"/>
                <w:szCs w:val="24"/>
                <w:shd w:val="clear" w:color="auto" w:fill="FFFFFF"/>
              </w:rPr>
              <w:t>）。</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w:t>
            </w:r>
            <w:r>
              <w:rPr>
                <w:rFonts w:ascii="宋体" w:hAnsi="宋体" w:cs="Segoe UI"/>
                <w:color w:val="333333"/>
                <w:sz w:val="24"/>
                <w:szCs w:val="24"/>
                <w:shd w:val="clear" w:color="auto" w:fill="FFFFFF"/>
              </w:rPr>
              <w:t>2</w:t>
            </w:r>
            <w:r>
              <w:rPr>
                <w:rFonts w:hint="eastAsia" w:ascii="宋体" w:hAnsi="宋体" w:cs="Segoe UI"/>
                <w:color w:val="333333"/>
                <w:sz w:val="24"/>
                <w:szCs w:val="24"/>
                <w:shd w:val="clear" w:color="auto" w:fill="FFFFFF"/>
              </w:rPr>
              <w:t>、提供多备份节点扩展功能，支持控制节点对所有备份节点进行集中统一管理。</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w:t>
            </w:r>
            <w:r>
              <w:rPr>
                <w:rFonts w:ascii="宋体" w:hAnsi="宋体" w:cs="Segoe UI"/>
                <w:color w:val="333333"/>
                <w:sz w:val="24"/>
                <w:szCs w:val="24"/>
                <w:shd w:val="clear" w:color="auto" w:fill="FFFFFF"/>
              </w:rPr>
              <w:t>3</w:t>
            </w:r>
            <w:r>
              <w:rPr>
                <w:rFonts w:hint="eastAsia" w:ascii="宋体" w:hAnsi="宋体" w:cs="Segoe UI"/>
                <w:color w:val="333333"/>
                <w:sz w:val="24"/>
                <w:szCs w:val="24"/>
                <w:shd w:val="clear" w:color="auto" w:fill="FFFFFF"/>
              </w:rPr>
              <w:t>、提供存储扩展、管理功能，支持扩展的存储类型包括本地磁盘、分区、LVM、FC、iSCSI、NFS、CIFS等；支持将存储上的备份数据重新导入系统的功能。</w:t>
            </w:r>
          </w:p>
        </w:tc>
      </w:tr>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hint="eastAsia" w:ascii="宋体" w:hAnsi="宋体" w:cs="宋体"/>
                <w:sz w:val="24"/>
                <w:szCs w:val="24"/>
              </w:rPr>
              <w:t>8</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outlineLvl w:val="0"/>
              <w:rPr>
                <w:rFonts w:ascii="宋体" w:hAnsi="宋体"/>
                <w:bCs/>
                <w:sz w:val="24"/>
                <w:szCs w:val="24"/>
              </w:rPr>
            </w:pPr>
            <w:r>
              <w:rPr>
                <w:rFonts w:hint="eastAsia" w:ascii="宋体" w:hAnsi="宋体"/>
                <w:bCs/>
                <w:sz w:val="24"/>
                <w:szCs w:val="24"/>
              </w:rPr>
              <w:t>高级功能</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1、支持对备份磁带介质循环利用的重用机制和方便的管理方法，最大限度保证介质利用率。</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2、支持磁带库离线归档。</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3</w:t>
            </w:r>
            <w:r>
              <w:rPr>
                <w:rFonts w:hint="eastAsia" w:ascii="宋体" w:hAnsi="宋体" w:cs="Segoe UI"/>
                <w:color w:val="333333"/>
                <w:sz w:val="24"/>
                <w:szCs w:val="24"/>
                <w:shd w:val="clear" w:color="auto" w:fill="FFFFFF"/>
              </w:rPr>
              <w:t>、实现本地和可跨网络系统备份、还原、迁移。</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4、支持磁带机并行操作，支持磁带库驱动器多路存取控制（对多磁带机并行操作），以提高备份和恢复速度；虚拟磁带库可动态从分布式存储架构中获取存储空间。</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5、支持STK，SUN，ADIC，IBM，HP，Quantum等主流磁带库，磁带机,虚拟磁带库。</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6</w:t>
            </w:r>
            <w:r>
              <w:rPr>
                <w:rFonts w:hint="eastAsia" w:ascii="宋体" w:hAnsi="宋体" w:cs="Segoe UI"/>
                <w:color w:val="333333"/>
                <w:sz w:val="24"/>
                <w:szCs w:val="24"/>
                <w:shd w:val="clear" w:color="auto" w:fill="FFFFFF"/>
              </w:rPr>
              <w:t>、支持并发传输、多线程、多任务备份传输。</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7</w:t>
            </w:r>
            <w:r>
              <w:rPr>
                <w:rFonts w:hint="eastAsia" w:ascii="宋体" w:hAnsi="宋体" w:cs="Segoe UI"/>
                <w:color w:val="333333"/>
                <w:sz w:val="24"/>
                <w:szCs w:val="24"/>
                <w:shd w:val="clear" w:color="auto" w:fill="FFFFFF"/>
              </w:rPr>
              <w:t>、支持远程复制功能，可以将本地备份设备上完成备份的数据复制到远程备份设备。</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8</w:t>
            </w:r>
            <w:r>
              <w:rPr>
                <w:rFonts w:hint="eastAsia" w:ascii="宋体" w:hAnsi="宋体" w:cs="Segoe UI"/>
                <w:color w:val="333333"/>
                <w:sz w:val="24"/>
                <w:szCs w:val="24"/>
                <w:shd w:val="clear" w:color="auto" w:fill="FFFFFF"/>
              </w:rPr>
              <w:t>、支持备份数据流安全审计，阻断非法网络连接。能够对用户执行的备份、恢复、配置修改等操作都自动记录和保存，并按条件提供审计进行事后审计。</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9、支持通过防火墙备份：支持通过防火墙的包过滤，允许多个埠可用于备份而不影响性能。</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10</w:t>
            </w:r>
            <w:r>
              <w:rPr>
                <w:rFonts w:hint="eastAsia" w:ascii="宋体" w:hAnsi="宋体" w:cs="Segoe UI"/>
                <w:color w:val="333333"/>
                <w:sz w:val="24"/>
                <w:szCs w:val="24"/>
                <w:shd w:val="clear" w:color="auto" w:fill="FFFFFF"/>
              </w:rPr>
              <w:t>、支持通过数据压缩等技术手段节约远程备份网络负载，降低远程备份的网络带宽要求。</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11</w:t>
            </w:r>
            <w:r>
              <w:rPr>
                <w:rFonts w:hint="eastAsia" w:ascii="宋体" w:hAnsi="宋体" w:cs="Segoe UI"/>
                <w:color w:val="333333"/>
                <w:sz w:val="24"/>
                <w:szCs w:val="24"/>
                <w:shd w:val="clear" w:color="auto" w:fill="FFFFFF"/>
              </w:rPr>
              <w:t>、备份过程可审计，统计所备份服务器数据流量及软件使用所占比率分析图。</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12</w:t>
            </w:r>
            <w:r>
              <w:rPr>
                <w:rFonts w:hint="eastAsia" w:ascii="宋体" w:hAnsi="宋体" w:cs="Segoe UI"/>
                <w:color w:val="333333"/>
                <w:sz w:val="24"/>
                <w:szCs w:val="24"/>
                <w:shd w:val="clear" w:color="auto" w:fill="FFFFFF"/>
              </w:rPr>
              <w:t>、可支持备份服务器集群功能，当其中一台备份服务器故障时不影响备份任务。</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13</w:t>
            </w:r>
            <w:r>
              <w:rPr>
                <w:rFonts w:hint="eastAsia" w:ascii="宋体" w:hAnsi="宋体" w:cs="Segoe UI"/>
                <w:color w:val="333333"/>
                <w:sz w:val="24"/>
                <w:szCs w:val="24"/>
                <w:shd w:val="clear" w:color="auto" w:fill="FFFFFF"/>
              </w:rPr>
              <w:t>、内建管理报表产生器，可依各式报表之个别属性模板，进阶自行定义报表内数据域位及格式，以符合各项管理需求。</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14</w:t>
            </w:r>
            <w:r>
              <w:rPr>
                <w:rFonts w:hint="eastAsia" w:ascii="宋体" w:hAnsi="宋体" w:cs="Segoe UI"/>
                <w:color w:val="333333"/>
                <w:sz w:val="24"/>
                <w:szCs w:val="24"/>
                <w:shd w:val="clear" w:color="auto" w:fill="FFFFFF"/>
              </w:rPr>
              <w:t>、备份软件能够采用快照技术或集成设备的快照技术,对数据进行快照式备份及快速恢复。</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15</w:t>
            </w:r>
            <w:r>
              <w:rPr>
                <w:rFonts w:hint="eastAsia" w:ascii="宋体" w:hAnsi="宋体" w:cs="Segoe UI"/>
                <w:color w:val="333333"/>
                <w:sz w:val="24"/>
                <w:szCs w:val="24"/>
                <w:shd w:val="clear" w:color="auto" w:fill="FFFFFF"/>
              </w:rPr>
              <w:t>、提供128位加密（Encryption）功能数据备份业选件，加密功能在客户端启动此功能后，所有备份数据在Client端即先行加密，再传送给磁带装置储存。支持对备份介质的加密，如磁带加密功能。</w:t>
            </w:r>
          </w:p>
        </w:tc>
      </w:tr>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宋体"/>
                <w:sz w:val="24"/>
                <w:szCs w:val="24"/>
              </w:rPr>
            </w:pPr>
            <w:r>
              <w:rPr>
                <w:rFonts w:hint="eastAsia"/>
              </w:rPr>
              <w:t>9</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outlineLvl w:val="0"/>
              <w:rPr>
                <w:rFonts w:ascii="宋体" w:hAnsi="宋体"/>
                <w:bCs/>
                <w:sz w:val="24"/>
                <w:szCs w:val="24"/>
              </w:rPr>
            </w:pPr>
            <w:r>
              <w:rPr>
                <w:rFonts w:hint="eastAsia"/>
              </w:rPr>
              <w:t>恢复功能</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1、支持业务系统的操作系统、应用、数据一体化在线恢复，无需在对恢复目标安装操作系统配置软件拷贝数据等操作，恢复过程无需中断接管后的业务访问。</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2</w:t>
            </w:r>
            <w:r>
              <w:rPr>
                <w:rFonts w:hint="eastAsia" w:ascii="宋体" w:hAnsi="宋体" w:cs="Segoe UI"/>
                <w:color w:val="333333"/>
                <w:sz w:val="24"/>
                <w:szCs w:val="24"/>
                <w:shd w:val="clear" w:color="auto" w:fill="FFFFFF"/>
              </w:rPr>
              <w:t>、支持在线全量恢复、接管后增量数据恢复。</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3</w:t>
            </w:r>
            <w:r>
              <w:rPr>
                <w:rFonts w:hint="eastAsia" w:ascii="宋体" w:hAnsi="宋体" w:cs="Segoe UI"/>
                <w:color w:val="333333"/>
                <w:sz w:val="24"/>
                <w:szCs w:val="24"/>
                <w:shd w:val="clear" w:color="auto" w:fill="FFFFFF"/>
              </w:rPr>
              <w:t>、支持任意时间点工作负载，例如操作系统、应用、数据的一体化恢复。</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4、支持物理机到虚拟机P2V的异机快速恢复，可配置恢复虚拟机的单个或多个磁盘恢复位置、虚拟网卡绑定位置以及是否保留MAC信息，同时还支持P2P、P2V、V2V等模式，以及跨平台裸机恢复。</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5、虚拟化恢复内嵌独立演练模式，支持在完全不影响生产业务和灾备任务的前提下，随时随地进行容灾演练测试；演练测试操作简单，支持快速完成所有系统配置部分（系统配置、IP地址、机器名、服务启动状态等）自动化完成，可同时生成和启动多个时间点容灾演练系统；支持在演练系统前进行IP地址和MAC地址的修改，无需进入演练系统进行修改。</w:t>
            </w:r>
          </w:p>
        </w:tc>
      </w:tr>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r>
              <w:rPr>
                <w:rFonts w:hint="eastAsia"/>
              </w:rPr>
              <w:t>1</w:t>
            </w:r>
            <w:r>
              <w:t>0</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outlineLvl w:val="0"/>
            </w:pPr>
            <w:r>
              <w:rPr>
                <w:rFonts w:hint="eastAsia"/>
              </w:rPr>
              <w:t>管理要求</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1、提供基于PC及移动端的图形管理界面，用户可以通过管理界面集中对系统内所有代理的任务进行统一管理和监控，包括任务的启停和修改。；</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2</w:t>
            </w:r>
            <w:r>
              <w:rPr>
                <w:rFonts w:hint="eastAsia" w:ascii="宋体" w:hAnsi="宋体" w:cs="Segoe UI"/>
                <w:color w:val="333333"/>
                <w:sz w:val="24"/>
                <w:szCs w:val="24"/>
                <w:shd w:val="clear" w:color="auto" w:fill="FFFFFF"/>
              </w:rPr>
              <w:t>、能够实时监控服务器状态，生成图形化的报表，并能够提供预警功能和邮件通知功能；可以实现对备份/恢复任务进行统计并分析成长趋势。</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3、支持多用户／权限分离管理，支持基于角色的访问控制。</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4</w:t>
            </w:r>
            <w:r>
              <w:rPr>
                <w:rFonts w:hint="eastAsia" w:ascii="宋体" w:hAnsi="宋体" w:cs="Segoe UI"/>
                <w:color w:val="333333"/>
                <w:sz w:val="24"/>
                <w:szCs w:val="24"/>
                <w:shd w:val="clear" w:color="auto" w:fill="FFFFFF"/>
              </w:rPr>
              <w:t>、支持备份虚拟机的标示功能，对受保护与未受保护的虚拟机进行标示和管理，具备日志、报表、系统概况的图形化展示功能。</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5</w:t>
            </w:r>
            <w:r>
              <w:rPr>
                <w:rFonts w:hint="eastAsia" w:ascii="宋体" w:hAnsi="宋体" w:cs="Segoe UI"/>
                <w:color w:val="333333"/>
                <w:sz w:val="24"/>
                <w:szCs w:val="24"/>
                <w:shd w:val="clear" w:color="auto" w:fill="FFFFFF"/>
              </w:rPr>
              <w:t>、支持存储资源循环利用，能够根据用户设置的回收策略，自动删除过期的备份数据。</w:t>
            </w:r>
          </w:p>
          <w:p>
            <w:pPr>
              <w:rPr>
                <w:rFonts w:ascii="宋体" w:hAnsi="宋体" w:cs="Segoe UI"/>
                <w:color w:val="333333"/>
                <w:sz w:val="24"/>
                <w:szCs w:val="24"/>
                <w:shd w:val="clear" w:color="auto" w:fill="FFFFFF"/>
              </w:rPr>
            </w:pPr>
            <w:r>
              <w:rPr>
                <w:rFonts w:ascii="宋体" w:hAnsi="宋体" w:cs="Segoe UI"/>
                <w:color w:val="333333"/>
                <w:sz w:val="24"/>
                <w:szCs w:val="24"/>
                <w:shd w:val="clear" w:color="auto" w:fill="FFFFFF"/>
              </w:rPr>
              <w:t>6</w:t>
            </w:r>
            <w:r>
              <w:rPr>
                <w:rFonts w:hint="eastAsia" w:ascii="宋体" w:hAnsi="宋体" w:cs="Segoe UI"/>
                <w:color w:val="333333"/>
                <w:sz w:val="24"/>
                <w:szCs w:val="24"/>
                <w:shd w:val="clear" w:color="auto" w:fill="FFFFFF"/>
              </w:rPr>
              <w:t>、具备自动告警功能，包括邮件告警和短信告警功能，内嵌短信自动发送平台。</w:t>
            </w:r>
          </w:p>
        </w:tc>
      </w:tr>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r>
              <w:rPr>
                <w:rFonts w:hint="eastAsia"/>
              </w:rPr>
              <w:t>1</w:t>
            </w:r>
            <w:r>
              <w:t>1</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outlineLvl w:val="0"/>
            </w:pPr>
            <w:r>
              <w:rPr>
                <w:rFonts w:hint="eastAsia"/>
              </w:rPr>
              <w:t>兼容性支持</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1、能够兼容各种应用环境，包括各个主流版本的Window, Linux等。2、能够兼容AIX、HP-UX、Solaris、SCO Unix等UNIX操作系统。</w:t>
            </w:r>
          </w:p>
          <w:p>
            <w:pPr>
              <w:rPr>
                <w:rFonts w:ascii="宋体" w:hAnsi="宋体" w:cs="Segoe UI"/>
                <w:color w:val="333333"/>
                <w:sz w:val="24"/>
                <w:szCs w:val="24"/>
                <w:shd w:val="clear" w:color="auto" w:fill="FFFFFF"/>
              </w:rPr>
            </w:pPr>
            <w:r>
              <w:rPr>
                <w:rFonts w:hint="eastAsia" w:ascii="宋体" w:hAnsi="宋体" w:cs="Segoe UI"/>
                <w:color w:val="333333"/>
                <w:sz w:val="24"/>
                <w:szCs w:val="24"/>
                <w:shd w:val="clear" w:color="auto" w:fill="FFFFFF"/>
              </w:rPr>
              <w:t>3、支持直接访问裸设备，可以直接将本地硬盘或者外置逻辑卷</w:t>
            </w:r>
            <w:r>
              <w:rPr>
                <w:rFonts w:ascii="宋体" w:hAnsi="宋体" w:cs="Segoe UI"/>
                <w:color w:val="333333"/>
                <w:sz w:val="24"/>
                <w:szCs w:val="24"/>
                <w:shd w:val="clear" w:color="auto" w:fill="FFFFFF"/>
              </w:rPr>
              <w:t>(</w:t>
            </w:r>
            <w:r>
              <w:rPr>
                <w:rFonts w:hint="eastAsia" w:ascii="宋体" w:hAnsi="宋体" w:cs="Segoe UI"/>
                <w:color w:val="333333"/>
                <w:sz w:val="24"/>
                <w:szCs w:val="24"/>
                <w:shd w:val="clear" w:color="auto" w:fill="FFFFFF"/>
              </w:rPr>
              <w:t>如</w:t>
            </w:r>
            <w:r>
              <w:rPr>
                <w:rFonts w:ascii="宋体" w:hAnsi="宋体" w:cs="Segoe UI"/>
                <w:color w:val="333333"/>
                <w:sz w:val="24"/>
                <w:szCs w:val="24"/>
                <w:shd w:val="clear" w:color="auto" w:fill="FFFFFF"/>
              </w:rPr>
              <w:t>FC SAN</w:t>
            </w:r>
            <w:r>
              <w:rPr>
                <w:rFonts w:hint="eastAsia" w:ascii="宋体" w:hAnsi="宋体" w:cs="Segoe UI"/>
                <w:color w:val="333333"/>
                <w:sz w:val="24"/>
                <w:szCs w:val="24"/>
                <w:shd w:val="clear" w:color="auto" w:fill="FFFFFF"/>
              </w:rPr>
              <w:t>和</w:t>
            </w:r>
            <w:r>
              <w:rPr>
                <w:rFonts w:ascii="宋体" w:hAnsi="宋体" w:cs="Segoe UI"/>
                <w:color w:val="333333"/>
                <w:sz w:val="24"/>
                <w:szCs w:val="24"/>
                <w:shd w:val="clear" w:color="auto" w:fill="FFFFFF"/>
              </w:rPr>
              <w:t>iSCSI)</w:t>
            </w:r>
            <w:r>
              <w:rPr>
                <w:rFonts w:hint="eastAsia" w:ascii="宋体" w:hAnsi="宋体" w:cs="Segoe UI"/>
                <w:color w:val="333333"/>
                <w:sz w:val="24"/>
                <w:szCs w:val="24"/>
                <w:shd w:val="clear" w:color="auto" w:fill="FFFFFF"/>
              </w:rPr>
              <w:t>映射给服务器使用。</w:t>
            </w:r>
          </w:p>
          <w:p>
            <w:r>
              <w:rPr>
                <w:rFonts w:hint="eastAsia" w:ascii="宋体" w:hAnsi="宋体" w:cs="Segoe UI"/>
                <w:color w:val="333333"/>
                <w:sz w:val="24"/>
                <w:szCs w:val="24"/>
                <w:shd w:val="clear" w:color="auto" w:fill="FFFFFF"/>
              </w:rPr>
              <w:t>4、全面支持</w:t>
            </w:r>
            <w:r>
              <w:rPr>
                <w:rFonts w:ascii="宋体" w:hAnsi="宋体" w:cs="Segoe UI"/>
                <w:color w:val="333333"/>
                <w:sz w:val="24"/>
                <w:szCs w:val="24"/>
                <w:shd w:val="clear" w:color="auto" w:fill="FFFFFF"/>
              </w:rPr>
              <w:t>VMware vCenter</w:t>
            </w:r>
            <w:r>
              <w:rPr>
                <w:rFonts w:hint="eastAsia" w:ascii="宋体" w:hAnsi="宋体" w:cs="Segoe UI"/>
                <w:color w:val="333333"/>
                <w:sz w:val="24"/>
                <w:szCs w:val="24"/>
                <w:shd w:val="clear" w:color="auto" w:fill="FFFFFF"/>
              </w:rPr>
              <w:t>和</w:t>
            </w:r>
            <w:r>
              <w:rPr>
                <w:rFonts w:ascii="宋体" w:hAnsi="宋体" w:cs="Segoe UI"/>
                <w:color w:val="333333"/>
                <w:sz w:val="24"/>
                <w:szCs w:val="24"/>
                <w:shd w:val="clear" w:color="auto" w:fill="FFFFFF"/>
              </w:rPr>
              <w:t>Esxi 4.x, 5.x, 6.x</w:t>
            </w:r>
            <w:r>
              <w:rPr>
                <w:rFonts w:hint="eastAsia" w:ascii="宋体" w:hAnsi="宋体" w:cs="Segoe UI"/>
                <w:color w:val="333333"/>
                <w:sz w:val="24"/>
                <w:szCs w:val="24"/>
                <w:shd w:val="clear" w:color="auto" w:fill="FFFFFF"/>
              </w:rPr>
              <w:t>等各个版本。</w:t>
            </w:r>
          </w:p>
        </w:tc>
      </w:tr>
    </w:tbl>
    <w:p>
      <w:pPr>
        <w:rPr>
          <w:rFonts w:hint="eastAsia" w:asciiTheme="minorEastAsia" w:hAnsiTheme="minorEastAsia"/>
          <w:b/>
          <w:sz w:val="28"/>
          <w:szCs w:val="28"/>
        </w:rPr>
      </w:pPr>
    </w:p>
    <w:p>
      <w:pPr>
        <w:jc w:val="left"/>
        <w:rPr>
          <w:b/>
          <w:sz w:val="28"/>
          <w:szCs w:val="28"/>
        </w:rPr>
      </w:pPr>
      <w:r>
        <w:rPr>
          <w:rFonts w:hint="eastAsia"/>
          <w:b/>
          <w:sz w:val="28"/>
          <w:szCs w:val="28"/>
          <w:lang w:val="en-US" w:eastAsia="zh-CN"/>
        </w:rPr>
        <w:t>五</w:t>
      </w:r>
      <w:r>
        <w:rPr>
          <w:b/>
          <w:sz w:val="28"/>
          <w:szCs w:val="28"/>
        </w:rPr>
        <w:t>、实施要求</w:t>
      </w:r>
    </w:p>
    <w:p>
      <w:pPr>
        <w:ind w:firstLine="560" w:firstLineChars="200"/>
        <w:jc w:val="left"/>
        <w:rPr>
          <w:sz w:val="28"/>
          <w:szCs w:val="28"/>
        </w:rPr>
      </w:pPr>
      <w:r>
        <w:rPr>
          <w:rFonts w:hint="eastAsia"/>
          <w:sz w:val="28"/>
          <w:szCs w:val="28"/>
        </w:rPr>
        <w:t>1、</w:t>
      </w:r>
      <w:r>
        <w:rPr>
          <w:sz w:val="28"/>
          <w:szCs w:val="28"/>
        </w:rPr>
        <w:t>系统在合同签订后通过验收前必须安排专业实施人员驻场实施，医院有权根据实施情况要求更换项目经理和实施人员。</w:t>
      </w:r>
    </w:p>
    <w:p>
      <w:pPr>
        <w:ind w:firstLine="560" w:firstLineChars="200"/>
        <w:jc w:val="left"/>
        <w:rPr>
          <w:sz w:val="28"/>
          <w:szCs w:val="28"/>
        </w:rPr>
      </w:pPr>
      <w:r>
        <w:rPr>
          <w:rFonts w:hint="eastAsia"/>
          <w:sz w:val="28"/>
          <w:szCs w:val="28"/>
        </w:rPr>
        <w:t>2、</w:t>
      </w:r>
      <w:r>
        <w:rPr>
          <w:sz w:val="28"/>
          <w:szCs w:val="28"/>
        </w:rPr>
        <w:t>供应商应全力与</w:t>
      </w:r>
      <w:r>
        <w:rPr>
          <w:rFonts w:hint="eastAsia"/>
          <w:sz w:val="28"/>
          <w:szCs w:val="28"/>
        </w:rPr>
        <w:t>采购人</w:t>
      </w:r>
      <w:r>
        <w:rPr>
          <w:sz w:val="28"/>
          <w:szCs w:val="28"/>
        </w:rPr>
        <w:t>配合，根据</w:t>
      </w:r>
      <w:r>
        <w:rPr>
          <w:rFonts w:hint="eastAsia"/>
          <w:sz w:val="28"/>
          <w:szCs w:val="28"/>
        </w:rPr>
        <w:t>采购人</w:t>
      </w:r>
      <w:r>
        <w:rPr>
          <w:sz w:val="28"/>
          <w:szCs w:val="28"/>
        </w:rPr>
        <w:t>详细需求，提交实施方案，保证系统按时、正常地投入运行。</w:t>
      </w:r>
    </w:p>
    <w:p>
      <w:pPr>
        <w:ind w:firstLine="560" w:firstLineChars="200"/>
        <w:jc w:val="left"/>
        <w:rPr>
          <w:sz w:val="28"/>
          <w:szCs w:val="28"/>
        </w:rPr>
      </w:pPr>
      <w:r>
        <w:rPr>
          <w:rFonts w:hint="eastAsia"/>
          <w:sz w:val="28"/>
          <w:szCs w:val="28"/>
        </w:rPr>
        <w:t>3、</w:t>
      </w:r>
      <w:r>
        <w:rPr>
          <w:sz w:val="28"/>
          <w:szCs w:val="28"/>
        </w:rPr>
        <w:t>双方签署最终验收文件时，</w:t>
      </w:r>
      <w:r>
        <w:rPr>
          <w:rFonts w:hint="eastAsia"/>
          <w:sz w:val="28"/>
          <w:szCs w:val="28"/>
        </w:rPr>
        <w:t>成交供应商</w:t>
      </w:r>
      <w:r>
        <w:rPr>
          <w:sz w:val="28"/>
          <w:szCs w:val="28"/>
        </w:rPr>
        <w:t>提交全套、完整的系统安装手册、配置、管理及维护的全面技术资料，以及系统使用说明书、计划总结、培训文档等资料，并有责任帮助整理、装订、归档。</w:t>
      </w:r>
    </w:p>
    <w:p>
      <w:pPr>
        <w:ind w:firstLine="560" w:firstLineChars="200"/>
        <w:jc w:val="left"/>
        <w:rPr>
          <w:sz w:val="28"/>
          <w:szCs w:val="28"/>
        </w:rPr>
      </w:pPr>
      <w:r>
        <w:rPr>
          <w:rFonts w:hint="eastAsia"/>
          <w:sz w:val="28"/>
          <w:szCs w:val="28"/>
        </w:rPr>
        <w:t>4、</w:t>
      </w:r>
      <w:r>
        <w:rPr>
          <w:sz w:val="28"/>
          <w:szCs w:val="28"/>
        </w:rPr>
        <w:t>培训要求</w:t>
      </w:r>
    </w:p>
    <w:p>
      <w:pPr>
        <w:ind w:firstLine="420" w:firstLineChars="150"/>
        <w:jc w:val="left"/>
        <w:rPr>
          <w:sz w:val="28"/>
          <w:szCs w:val="28"/>
        </w:rPr>
      </w:pPr>
      <w:r>
        <w:rPr>
          <w:sz w:val="28"/>
          <w:szCs w:val="28"/>
        </w:rPr>
        <w:t>（1）在系统安装实施完成并正式交付</w:t>
      </w:r>
      <w:r>
        <w:rPr>
          <w:rFonts w:hint="eastAsia"/>
          <w:sz w:val="28"/>
          <w:szCs w:val="28"/>
        </w:rPr>
        <w:t>采购人</w:t>
      </w:r>
      <w:r>
        <w:rPr>
          <w:sz w:val="28"/>
          <w:szCs w:val="28"/>
        </w:rPr>
        <w:t>使用之前，负责培训相关操作使用人员，保证系统使用效果。</w:t>
      </w:r>
    </w:p>
    <w:p>
      <w:pPr>
        <w:ind w:firstLine="420" w:firstLineChars="150"/>
        <w:jc w:val="left"/>
        <w:rPr>
          <w:sz w:val="28"/>
          <w:szCs w:val="28"/>
        </w:rPr>
      </w:pPr>
      <w:r>
        <w:rPr>
          <w:sz w:val="28"/>
          <w:szCs w:val="28"/>
        </w:rPr>
        <w:t>（2）培训目标：信息科技术人员经培训后应能熟练地掌握软件的维护工作并能及时排除软件故障；使用人员能熟练使用软件系统功能。</w:t>
      </w:r>
    </w:p>
    <w:p>
      <w:pPr>
        <w:ind w:firstLine="420" w:firstLineChars="150"/>
        <w:jc w:val="left"/>
        <w:rPr>
          <w:sz w:val="28"/>
          <w:szCs w:val="28"/>
        </w:rPr>
      </w:pPr>
      <w:r>
        <w:rPr>
          <w:sz w:val="28"/>
          <w:szCs w:val="28"/>
        </w:rPr>
        <w:t>（3）</w:t>
      </w:r>
      <w:r>
        <w:rPr>
          <w:rFonts w:hint="eastAsia"/>
          <w:sz w:val="28"/>
          <w:szCs w:val="28"/>
        </w:rPr>
        <w:t>供应商</w:t>
      </w:r>
      <w:r>
        <w:rPr>
          <w:sz w:val="28"/>
          <w:szCs w:val="28"/>
        </w:rPr>
        <w:t>提供详细的培训计划、培训内容。</w:t>
      </w:r>
    </w:p>
    <w:p>
      <w:pPr>
        <w:ind w:firstLine="420" w:firstLineChars="150"/>
        <w:jc w:val="left"/>
        <w:rPr>
          <w:sz w:val="28"/>
          <w:szCs w:val="28"/>
        </w:rPr>
      </w:pPr>
      <w:r>
        <w:rPr>
          <w:sz w:val="28"/>
          <w:szCs w:val="28"/>
        </w:rPr>
        <w:t>（4）</w:t>
      </w:r>
      <w:r>
        <w:rPr>
          <w:rFonts w:hint="eastAsia"/>
          <w:sz w:val="28"/>
          <w:szCs w:val="28"/>
        </w:rPr>
        <w:t>供应商</w:t>
      </w:r>
      <w:r>
        <w:rPr>
          <w:sz w:val="28"/>
          <w:szCs w:val="28"/>
        </w:rPr>
        <w:t>提供产品操作手册纸质文件和电子文件，方便用户学习和使用。</w:t>
      </w:r>
    </w:p>
    <w:p>
      <w:pPr>
        <w:ind w:firstLine="141" w:firstLineChars="50"/>
        <w:jc w:val="left"/>
        <w:rPr>
          <w:b/>
          <w:sz w:val="28"/>
          <w:szCs w:val="28"/>
        </w:rPr>
      </w:pPr>
      <w:r>
        <w:rPr>
          <w:rFonts w:hint="eastAsia"/>
          <w:b/>
          <w:sz w:val="28"/>
          <w:szCs w:val="28"/>
          <w:lang w:val="en-US" w:eastAsia="zh-CN"/>
        </w:rPr>
        <w:t>六</w:t>
      </w:r>
      <w:r>
        <w:rPr>
          <w:rFonts w:hint="eastAsia"/>
          <w:b/>
          <w:sz w:val="28"/>
          <w:szCs w:val="28"/>
        </w:rPr>
        <w:t>、</w:t>
      </w:r>
      <w:r>
        <w:rPr>
          <w:b/>
          <w:sz w:val="28"/>
          <w:szCs w:val="28"/>
        </w:rPr>
        <w:t>售后服务要求</w:t>
      </w:r>
    </w:p>
    <w:p>
      <w:pPr>
        <w:ind w:firstLine="562" w:firstLineChars="200"/>
        <w:jc w:val="left"/>
        <w:rPr>
          <w:b/>
          <w:sz w:val="28"/>
          <w:szCs w:val="28"/>
        </w:rPr>
      </w:pPr>
      <w:r>
        <w:rPr>
          <w:rFonts w:hint="eastAsia"/>
          <w:b/>
          <w:sz w:val="28"/>
          <w:szCs w:val="28"/>
        </w:rPr>
        <w:t>1、项目免费维保期不低于3年，</w:t>
      </w:r>
      <w:r>
        <w:rPr>
          <w:b/>
          <w:sz w:val="28"/>
          <w:szCs w:val="28"/>
        </w:rPr>
        <w:t>免费</w:t>
      </w:r>
      <w:r>
        <w:rPr>
          <w:rFonts w:hint="eastAsia"/>
          <w:b/>
          <w:sz w:val="28"/>
          <w:szCs w:val="28"/>
        </w:rPr>
        <w:t>维保期</w:t>
      </w:r>
      <w:r>
        <w:rPr>
          <w:b/>
          <w:sz w:val="28"/>
          <w:szCs w:val="28"/>
        </w:rPr>
        <w:t>从</w:t>
      </w:r>
      <w:r>
        <w:rPr>
          <w:rFonts w:hint="eastAsia"/>
          <w:b/>
          <w:sz w:val="28"/>
          <w:szCs w:val="28"/>
        </w:rPr>
        <w:t>验收合格之日起算起。</w:t>
      </w:r>
    </w:p>
    <w:p>
      <w:pPr>
        <w:ind w:firstLine="560" w:firstLineChars="200"/>
        <w:jc w:val="left"/>
        <w:rPr>
          <w:sz w:val="28"/>
          <w:szCs w:val="28"/>
        </w:rPr>
      </w:pPr>
      <w:r>
        <w:rPr>
          <w:rFonts w:hint="eastAsia"/>
          <w:sz w:val="28"/>
          <w:szCs w:val="28"/>
        </w:rPr>
        <w:t>2、</w:t>
      </w:r>
      <w:r>
        <w:rPr>
          <w:sz w:val="28"/>
          <w:szCs w:val="28"/>
        </w:rPr>
        <w:t>在当地有专业的售后服务工程师，提供 7 X 24 小时技术支持，为</w:t>
      </w:r>
      <w:r>
        <w:rPr>
          <w:rFonts w:hint="eastAsia"/>
          <w:sz w:val="28"/>
          <w:szCs w:val="28"/>
        </w:rPr>
        <w:t>采购人</w:t>
      </w:r>
      <w:r>
        <w:rPr>
          <w:sz w:val="28"/>
          <w:szCs w:val="28"/>
        </w:rPr>
        <w:t>提供及时的售后服务，解决</w:t>
      </w:r>
      <w:r>
        <w:rPr>
          <w:rFonts w:hint="eastAsia"/>
          <w:sz w:val="28"/>
          <w:szCs w:val="28"/>
        </w:rPr>
        <w:t>采购人</w:t>
      </w:r>
      <w:r>
        <w:rPr>
          <w:sz w:val="28"/>
          <w:szCs w:val="28"/>
        </w:rPr>
        <w:t>在系统使用中遇到的问题。</w:t>
      </w:r>
    </w:p>
    <w:p>
      <w:pPr>
        <w:ind w:firstLine="560" w:firstLineChars="200"/>
        <w:jc w:val="left"/>
        <w:rPr>
          <w:sz w:val="28"/>
          <w:szCs w:val="28"/>
        </w:rPr>
      </w:pPr>
      <w:r>
        <w:rPr>
          <w:rFonts w:hint="eastAsia"/>
          <w:sz w:val="28"/>
          <w:szCs w:val="28"/>
        </w:rPr>
        <w:t>3、</w:t>
      </w:r>
      <w:r>
        <w:rPr>
          <w:sz w:val="28"/>
          <w:szCs w:val="28"/>
        </w:rPr>
        <w:t>当系统出现故障时，供应商必须在 4 小时内响应，并提出相应的解决方案。系统发生任何主要问题，</w:t>
      </w:r>
      <w:r>
        <w:rPr>
          <w:rFonts w:hint="eastAsia"/>
          <w:sz w:val="28"/>
          <w:szCs w:val="28"/>
        </w:rPr>
        <w:t>供应商</w:t>
      </w:r>
      <w:r>
        <w:rPr>
          <w:sz w:val="28"/>
          <w:szCs w:val="28"/>
        </w:rPr>
        <w:t>应及时提供所必须的技术与其它支援；系统发生重大故障时，</w:t>
      </w:r>
      <w:r>
        <w:rPr>
          <w:rFonts w:hint="eastAsia"/>
          <w:sz w:val="28"/>
          <w:szCs w:val="28"/>
        </w:rPr>
        <w:t>供应商</w:t>
      </w:r>
      <w:r>
        <w:rPr>
          <w:sz w:val="28"/>
          <w:szCs w:val="28"/>
        </w:rPr>
        <w:t>技术人员必须 6小时内到达事故现场进行解决问题。</w:t>
      </w:r>
    </w:p>
    <w:p>
      <w:pPr>
        <w:ind w:firstLine="141" w:firstLineChars="50"/>
        <w:jc w:val="left"/>
        <w:rPr>
          <w:rFonts w:hint="eastAsia"/>
          <w:b/>
          <w:sz w:val="28"/>
          <w:szCs w:val="28"/>
          <w:lang w:val="en-US" w:eastAsia="zh-CN"/>
        </w:rPr>
      </w:pPr>
      <w:r>
        <w:rPr>
          <w:rFonts w:hint="eastAsia"/>
          <w:b/>
          <w:sz w:val="28"/>
          <w:szCs w:val="28"/>
          <w:lang w:val="en-US" w:eastAsia="zh-CN"/>
        </w:rPr>
        <w:t>七、其他要求</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default"/>
          <w:sz w:val="28"/>
          <w:szCs w:val="28"/>
          <w:lang w:val="en-US" w:eastAsia="zh-CN"/>
        </w:rPr>
      </w:pPr>
      <w:r>
        <w:rPr>
          <w:rFonts w:hint="eastAsia"/>
          <w:b/>
          <w:sz w:val="28"/>
          <w:szCs w:val="28"/>
          <w:lang w:val="en-US" w:eastAsia="zh-CN"/>
        </w:rPr>
        <w:t>合同签订前，按照技术规格表中的要求提供原厂授权函和售后服务承诺函并加盖制造商公章（正本原件）</w:t>
      </w:r>
      <w:bookmarkStart w:id="24" w:name="_GoBack"/>
      <w:bookmarkEnd w:id="24"/>
    </w:p>
    <w:p>
      <w:pPr>
        <w:widowControl/>
        <w:jc w:val="left"/>
        <w:rPr>
          <w:b/>
          <w:color w:val="auto"/>
          <w:sz w:val="28"/>
          <w:szCs w:val="28"/>
        </w:rPr>
      </w:pPr>
      <w:r>
        <w:rPr>
          <w:rFonts w:hint="eastAsia"/>
          <w:b/>
          <w:color w:val="auto"/>
          <w:sz w:val="28"/>
          <w:szCs w:val="28"/>
          <w:lang w:val="en-US" w:eastAsia="zh-CN"/>
        </w:rPr>
        <w:t>八</w:t>
      </w:r>
      <w:r>
        <w:rPr>
          <w:rFonts w:hint="eastAsia"/>
          <w:b/>
          <w:color w:val="auto"/>
          <w:sz w:val="28"/>
          <w:szCs w:val="28"/>
        </w:rPr>
        <w:t>、付款方式</w:t>
      </w:r>
    </w:p>
    <w:p>
      <w:pPr>
        <w:widowControl/>
        <w:ind w:firstLine="560" w:firstLineChars="200"/>
        <w:jc w:val="left"/>
        <w:rPr>
          <w:rFonts w:hint="eastAsia"/>
          <w:color w:val="auto"/>
          <w:sz w:val="28"/>
          <w:szCs w:val="28"/>
        </w:rPr>
      </w:pPr>
      <w:r>
        <w:rPr>
          <w:rFonts w:hint="eastAsia"/>
          <w:color w:val="auto"/>
          <w:sz w:val="28"/>
          <w:szCs w:val="28"/>
        </w:rPr>
        <w:t>设备验收合格后，甲方向乙方支付合同金额的90%，余10%作为质保金，质保期满一年后无质量问题一次性无息支付。</w:t>
      </w:r>
    </w:p>
    <w:p>
      <w:pPr>
        <w:widowControl/>
        <w:ind w:firstLine="562" w:firstLineChars="200"/>
        <w:jc w:val="left"/>
        <w:rPr>
          <w:b/>
          <w:sz w:val="28"/>
          <w:szCs w:val="28"/>
        </w:rPr>
      </w:pPr>
      <w:r>
        <w:rPr>
          <w:b/>
          <w:sz w:val="28"/>
          <w:szCs w:val="28"/>
        </w:rPr>
        <w:br w:type="page"/>
      </w:r>
    </w:p>
    <w:p>
      <w:pPr>
        <w:pStyle w:val="5"/>
        <w:shd w:val="clear" w:color="auto" w:fill="FFFFFF"/>
        <w:spacing w:before="0" w:beforeAutospacing="0" w:after="150" w:afterAutospacing="0" w:line="360" w:lineRule="auto"/>
        <w:ind w:firstLine="480"/>
        <w:jc w:val="center"/>
        <w:rPr>
          <w:rFonts w:cs="Helvetica" w:asciiTheme="minorEastAsia" w:hAnsiTheme="minorEastAsia" w:eastAsiaTheme="minorEastAsia"/>
          <w:b/>
          <w:color w:val="333333"/>
          <w:sz w:val="28"/>
          <w:szCs w:val="28"/>
        </w:rPr>
      </w:pPr>
      <w:bookmarkStart w:id="1" w:name="OLE_LINK17"/>
      <w:bookmarkStart w:id="2" w:name="OLE_LINK21"/>
      <w:bookmarkStart w:id="3" w:name="OLE_LINK15"/>
      <w:bookmarkStart w:id="4" w:name="OLE_LINK18"/>
      <w:bookmarkStart w:id="5" w:name="OLE_LINK20"/>
      <w:bookmarkStart w:id="6" w:name="OLE_LINK16"/>
      <w:bookmarkStart w:id="7" w:name="OLE_LINK19"/>
      <w:r>
        <w:rPr>
          <w:rFonts w:hint="eastAsia" w:cs="Helvetica" w:asciiTheme="minorEastAsia" w:hAnsiTheme="minorEastAsia" w:eastAsiaTheme="minorEastAsia"/>
          <w:b/>
          <w:color w:val="333333"/>
          <w:sz w:val="28"/>
          <w:szCs w:val="28"/>
        </w:rPr>
        <w:t>第三章  评分标准</w:t>
      </w:r>
    </w:p>
    <w:tbl>
      <w:tblPr>
        <w:tblStyle w:val="7"/>
        <w:tblpPr w:leftFromText="180" w:rightFromText="180" w:vertAnchor="text" w:horzAnchor="margin" w:tblpY="943"/>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541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b/>
                <w:bCs/>
                <w:color w:val="000000" w:themeColor="text1"/>
                <w:kern w:val="0"/>
                <w:sz w:val="20"/>
                <w:szCs w:val="20"/>
                <w14:textFill>
                  <w14:solidFill>
                    <w14:schemeClr w14:val="tx1"/>
                  </w14:solidFill>
                </w14:textFill>
              </w:rPr>
              <w:t>评审项目</w:t>
            </w:r>
          </w:p>
        </w:tc>
        <w:tc>
          <w:tcPr>
            <w:tcW w:w="5414"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b/>
                <w:bCs/>
                <w:color w:val="000000" w:themeColor="text1"/>
                <w:kern w:val="0"/>
                <w:sz w:val="20"/>
                <w:szCs w:val="20"/>
                <w14:textFill>
                  <w14:solidFill>
                    <w14:schemeClr w14:val="tx1"/>
                  </w14:solidFill>
                </w14:textFill>
              </w:rPr>
              <w:t>评审因素</w:t>
            </w:r>
          </w:p>
        </w:tc>
        <w:tc>
          <w:tcPr>
            <w:tcW w:w="1417" w:type="dxa"/>
          </w:tcPr>
          <w:p>
            <w:pPr>
              <w:spacing w:before="60" w:after="60"/>
              <w:jc w:val="center"/>
              <w:rPr>
                <w:rFonts w:cs="宋体" w:asciiTheme="minorEastAsia" w:hAnsiTheme="minorEastAsia"/>
                <w:b/>
                <w:bCs/>
                <w:color w:val="000000" w:themeColor="text1"/>
                <w:kern w:val="0"/>
                <w:sz w:val="20"/>
                <w:szCs w:val="20"/>
                <w14:textFill>
                  <w14:solidFill>
                    <w14:schemeClr w14:val="tx1"/>
                  </w14:solidFill>
                </w14:textFill>
              </w:rPr>
            </w:pPr>
            <w:r>
              <w:rPr>
                <w:rFonts w:hint="eastAsia" w:cs="宋体" w:asciiTheme="minorEastAsia" w:hAnsiTheme="minorEastAsia"/>
                <w:b/>
                <w:bCs/>
                <w:color w:val="000000" w:themeColor="text1"/>
                <w:kern w:val="0"/>
                <w:sz w:val="20"/>
                <w:szCs w:val="20"/>
                <w14:textFill>
                  <w14:solidFill>
                    <w14:schemeClr w14:val="tx1"/>
                  </w14:solidFill>
                </w14:textFill>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报价</w:t>
            </w:r>
          </w:p>
        </w:tc>
        <w:tc>
          <w:tcPr>
            <w:tcW w:w="541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 xml:space="preserve">满足磋商文件要求且最终报价最低的投标报价为基准价，其价格分为满分。其它报价得分=基准价÷最终报价×30 </w:t>
            </w:r>
          </w:p>
        </w:tc>
        <w:tc>
          <w:tcPr>
            <w:tcW w:w="1417"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Style w:val="12"/>
                <w:rFonts w:hint="default" w:cs="宋体" w:asciiTheme="minorEastAsia" w:hAnsiTheme="minorEastAsia" w:eastAsiaTheme="minorEastAsia"/>
                <w:color w:val="000000" w:themeColor="text1"/>
                <w:sz w:val="20"/>
                <w:szCs w:val="20"/>
                <w14:textFill>
                  <w14:solidFill>
                    <w14:schemeClr w14:val="tx1"/>
                  </w14:solidFill>
                </w14:textFill>
              </w:rPr>
              <w:t>企业业绩</w:t>
            </w:r>
          </w:p>
        </w:tc>
        <w:tc>
          <w:tcPr>
            <w:tcW w:w="5414" w:type="dxa"/>
            <w:vAlign w:val="center"/>
          </w:tcPr>
          <w:p>
            <w:pPr>
              <w:widowControl/>
              <w:spacing w:before="60" w:after="60"/>
              <w:rPr>
                <w:rFonts w:cs="宋体" w:asciiTheme="minorEastAsia" w:hAnsiTheme="minorEastAsia"/>
                <w:color w:val="000000" w:themeColor="text1"/>
                <w:kern w:val="0"/>
                <w:sz w:val="20"/>
                <w:szCs w:val="20"/>
                <w14:textFill>
                  <w14:solidFill>
                    <w14:schemeClr w14:val="tx1"/>
                  </w14:solidFill>
                </w14:textFill>
              </w:rPr>
            </w:pPr>
            <w:r>
              <w:rPr>
                <w:rStyle w:val="12"/>
                <w:rFonts w:hint="default" w:cs="宋体" w:asciiTheme="minorEastAsia" w:hAnsiTheme="minorEastAsia" w:eastAsiaTheme="minorEastAsia"/>
                <w:color w:val="000000" w:themeColor="text1"/>
                <w:sz w:val="20"/>
                <w:szCs w:val="20"/>
                <w14:textFill>
                  <w14:solidFill>
                    <w14:schemeClr w14:val="tx1"/>
                  </w14:solidFill>
                </w14:textFill>
              </w:rPr>
              <w:t>自</w:t>
            </w:r>
            <w:r>
              <w:rPr>
                <w:rStyle w:val="12"/>
                <w:rFonts w:hint="default" w:cs="宋体" w:asciiTheme="minorEastAsia" w:hAnsiTheme="minorEastAsia" w:eastAsiaTheme="minorEastAsia"/>
                <w:color w:val="000000" w:themeColor="text1"/>
                <w:sz w:val="20"/>
                <w:szCs w:val="20"/>
                <w:u w:val="single"/>
                <w14:textFill>
                  <w14:solidFill>
                    <w14:schemeClr w14:val="tx1"/>
                  </w14:solidFill>
                </w14:textFill>
              </w:rPr>
              <w:t>201</w:t>
            </w:r>
            <w:r>
              <w:rPr>
                <w:rStyle w:val="12"/>
                <w:rFonts w:hint="eastAsia" w:cs="宋体" w:asciiTheme="minorEastAsia" w:hAnsiTheme="minorEastAsia"/>
                <w:color w:val="000000" w:themeColor="text1"/>
                <w:sz w:val="20"/>
                <w:szCs w:val="20"/>
                <w:u w:val="single"/>
                <w:lang w:val="en-US" w:eastAsia="zh-CN"/>
                <w14:textFill>
                  <w14:solidFill>
                    <w14:schemeClr w14:val="tx1"/>
                  </w14:solidFill>
                </w14:textFill>
              </w:rPr>
              <w:t>8</w:t>
            </w:r>
            <w:r>
              <w:rPr>
                <w:rStyle w:val="12"/>
                <w:rFonts w:hint="default" w:cs="宋体" w:asciiTheme="minorEastAsia" w:hAnsiTheme="minorEastAsia" w:eastAsiaTheme="minorEastAsia"/>
                <w:color w:val="000000" w:themeColor="text1"/>
                <w:sz w:val="20"/>
                <w:szCs w:val="20"/>
                <w14:textFill>
                  <w14:solidFill>
                    <w14:schemeClr w14:val="tx1"/>
                  </w14:solidFill>
                </w14:textFill>
              </w:rPr>
              <w:t>年</w:t>
            </w:r>
            <w:r>
              <w:rPr>
                <w:rFonts w:hint="eastAsia" w:cs="宋体" w:asciiTheme="minorEastAsia" w:hAnsiTheme="minorEastAsia"/>
                <w:color w:val="000000" w:themeColor="text1"/>
                <w:kern w:val="0"/>
                <w:sz w:val="20"/>
                <w:szCs w:val="20"/>
                <w:u w:val="single"/>
                <w14:textFill>
                  <w14:solidFill>
                    <w14:schemeClr w14:val="tx1"/>
                  </w14:solidFill>
                </w14:textFill>
              </w:rPr>
              <w:t xml:space="preserve"> </w:t>
            </w:r>
            <w:r>
              <w:rPr>
                <w:rFonts w:hint="eastAsia" w:cs="宋体" w:asciiTheme="minorEastAsia" w:hAnsiTheme="minorEastAsia"/>
                <w:color w:val="000000" w:themeColor="text1"/>
                <w:kern w:val="0"/>
                <w:sz w:val="20"/>
                <w:szCs w:val="20"/>
                <w:u w:val="single"/>
                <w:lang w:val="en-US" w:eastAsia="zh-CN"/>
                <w14:textFill>
                  <w14:solidFill>
                    <w14:schemeClr w14:val="tx1"/>
                  </w14:solidFill>
                </w14:textFill>
              </w:rPr>
              <w:t>4</w:t>
            </w:r>
            <w:r>
              <w:rPr>
                <w:rFonts w:hint="eastAsia" w:cs="宋体" w:asciiTheme="minorEastAsia" w:hAnsiTheme="minorEastAsia"/>
                <w:color w:val="000000" w:themeColor="text1"/>
                <w:kern w:val="0"/>
                <w:sz w:val="20"/>
                <w:szCs w:val="20"/>
                <w:u w:val="single"/>
                <w14:textFill>
                  <w14:solidFill>
                    <w14:schemeClr w14:val="tx1"/>
                  </w14:solidFill>
                </w14:textFill>
              </w:rPr>
              <w:t xml:space="preserve"> </w:t>
            </w:r>
            <w:r>
              <w:rPr>
                <w:rStyle w:val="12"/>
                <w:rFonts w:hint="default" w:cs="宋体" w:asciiTheme="minorEastAsia" w:hAnsiTheme="minorEastAsia" w:eastAsiaTheme="minorEastAsia"/>
                <w:color w:val="000000" w:themeColor="text1"/>
                <w:sz w:val="20"/>
                <w:szCs w:val="20"/>
                <w14:textFill>
                  <w14:solidFill>
                    <w14:schemeClr w14:val="tx1"/>
                  </w14:solidFill>
                </w14:textFill>
              </w:rPr>
              <w:t>月</w:t>
            </w:r>
            <w:r>
              <w:rPr>
                <w:rFonts w:hint="eastAsia" w:cs="宋体" w:asciiTheme="minorEastAsia" w:hAnsiTheme="minorEastAsia"/>
                <w:color w:val="000000" w:themeColor="text1"/>
                <w:kern w:val="0"/>
                <w:sz w:val="20"/>
                <w:szCs w:val="20"/>
                <w:u w:val="single"/>
                <w14:textFill>
                  <w14:solidFill>
                    <w14:schemeClr w14:val="tx1"/>
                  </w14:solidFill>
                </w14:textFill>
              </w:rPr>
              <w:t xml:space="preserve"> 1 </w:t>
            </w:r>
            <w:r>
              <w:rPr>
                <w:rStyle w:val="12"/>
                <w:rFonts w:hint="default" w:cs="宋体" w:asciiTheme="minorEastAsia" w:hAnsiTheme="minorEastAsia" w:eastAsiaTheme="minorEastAsia"/>
                <w:color w:val="000000" w:themeColor="text1"/>
                <w:sz w:val="20"/>
                <w:szCs w:val="20"/>
                <w14:textFill>
                  <w14:solidFill>
                    <w14:schemeClr w14:val="tx1"/>
                  </w14:solidFill>
                </w14:textFill>
              </w:rPr>
              <w:t>日至今已完成的同类项目，每份得2分，满分6分。（须同时提供同一项目的中标通知书原件、合同原件和验收报告原件，三项原件缺一项不得分。）</w:t>
            </w:r>
          </w:p>
        </w:tc>
        <w:tc>
          <w:tcPr>
            <w:tcW w:w="1417" w:type="dxa"/>
            <w:vAlign w:val="center"/>
          </w:tcPr>
          <w:p>
            <w:pPr>
              <w:widowControl/>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asciiTheme="minorEastAsia" w:hAnsiTheme="minorEastAsia"/>
                <w:color w:val="000000" w:themeColor="text1"/>
                <w:kern w:val="0"/>
                <w:sz w:val="20"/>
                <w:szCs w:val="20"/>
                <w14:textFill>
                  <w14:solidFill>
                    <w14:schemeClr w14:val="tx1"/>
                  </w14:solidFill>
                </w14:textFill>
              </w:rPr>
              <w:t>响应情况</w:t>
            </w:r>
          </w:p>
        </w:tc>
        <w:tc>
          <w:tcPr>
            <w:tcW w:w="5414" w:type="dxa"/>
            <w:vAlign w:val="center"/>
          </w:tcPr>
          <w:p>
            <w:pPr>
              <w:spacing w:line="360" w:lineRule="auto"/>
              <w:rPr>
                <w:rFonts w:asciiTheme="minorEastAsia" w:hAnsiTheme="minorEastAsia"/>
                <w:kern w:val="0"/>
                <w:sz w:val="20"/>
                <w:szCs w:val="20"/>
              </w:rPr>
            </w:pPr>
            <w:r>
              <w:rPr>
                <w:rFonts w:hint="eastAsia" w:cs="仿宋" w:asciiTheme="minorEastAsia" w:hAnsiTheme="minorEastAsia"/>
                <w:kern w:val="0"/>
                <w:sz w:val="20"/>
                <w:szCs w:val="20"/>
              </w:rPr>
              <w:t>符合招标文件要求没有负偏离得15分</w:t>
            </w:r>
            <w:r>
              <w:rPr>
                <w:rFonts w:hint="eastAsia" w:asciiTheme="minorEastAsia" w:hAnsiTheme="minorEastAsia"/>
                <w:kern w:val="0"/>
                <w:sz w:val="20"/>
                <w:szCs w:val="20"/>
              </w:rPr>
              <w:t>，</w:t>
            </w:r>
            <w:r>
              <w:rPr>
                <w:rFonts w:hint="eastAsia" w:cs="仿宋" w:asciiTheme="minorEastAsia" w:hAnsiTheme="minorEastAsia"/>
                <w:kern w:val="0"/>
                <w:sz w:val="20"/>
                <w:szCs w:val="20"/>
              </w:rPr>
              <w:t>根据偏离情况对使用需求的影响程度，每项减</w:t>
            </w:r>
            <w:r>
              <w:rPr>
                <w:rFonts w:cs="仿宋" w:asciiTheme="minorEastAsia" w:hAnsiTheme="minorEastAsia"/>
                <w:kern w:val="0"/>
                <w:sz w:val="20"/>
                <w:szCs w:val="20"/>
              </w:rPr>
              <w:t xml:space="preserve">1-3 </w:t>
            </w:r>
            <w:r>
              <w:rPr>
                <w:rFonts w:hint="eastAsia" w:cs="仿宋" w:asciiTheme="minorEastAsia" w:hAnsiTheme="minorEastAsia"/>
                <w:kern w:val="0"/>
                <w:sz w:val="20"/>
                <w:szCs w:val="20"/>
              </w:rPr>
              <w:t>分，超过三项</w:t>
            </w:r>
            <w:r>
              <w:rPr>
                <w:rFonts w:hint="eastAsia" w:asciiTheme="minorEastAsia" w:hAnsiTheme="minorEastAsia"/>
                <w:kern w:val="0"/>
                <w:sz w:val="20"/>
                <w:szCs w:val="20"/>
              </w:rPr>
              <w:t>本项不得分。</w:t>
            </w:r>
          </w:p>
        </w:tc>
        <w:tc>
          <w:tcPr>
            <w:tcW w:w="1417" w:type="dxa"/>
            <w:vAlign w:val="center"/>
          </w:tcPr>
          <w:p>
            <w:pPr>
              <w:widowControl/>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asciiTheme="minorEastAsia" w:hAnsiTheme="minorEastAsia"/>
                <w:color w:val="000000" w:themeColor="text1"/>
                <w:kern w:val="0"/>
                <w:sz w:val="20"/>
                <w:szCs w:val="20"/>
                <w14:textFill>
                  <w14:solidFill>
                    <w14:schemeClr w14:val="tx1"/>
                  </w14:solidFill>
                </w14:textFill>
              </w:rPr>
            </w:pPr>
            <w:r>
              <w:rPr>
                <w:rFonts w:cs="宋体" w:asciiTheme="minorEastAsia" w:hAnsiTheme="minorEastAsia"/>
                <w:color w:val="000000" w:themeColor="text1"/>
                <w:kern w:val="0"/>
                <w:sz w:val="20"/>
                <w:szCs w:val="20"/>
                <w14:textFill>
                  <w14:solidFill>
                    <w14:schemeClr w14:val="tx1"/>
                  </w14:solidFill>
                </w14:textFill>
              </w:rPr>
              <w:t>技术</w:t>
            </w:r>
            <w:r>
              <w:rPr>
                <w:rFonts w:hint="eastAsia" w:cs="宋体" w:asciiTheme="minorEastAsia" w:hAnsiTheme="minorEastAsia"/>
                <w:color w:val="000000" w:themeColor="text1"/>
                <w:kern w:val="0"/>
                <w:sz w:val="20"/>
                <w:szCs w:val="20"/>
                <w14:textFill>
                  <w14:solidFill>
                    <w14:schemeClr w14:val="tx1"/>
                  </w14:solidFill>
                </w14:textFill>
              </w:rPr>
              <w:t>性能</w:t>
            </w:r>
          </w:p>
        </w:tc>
        <w:tc>
          <w:tcPr>
            <w:tcW w:w="5414" w:type="dxa"/>
            <w:vAlign w:val="center"/>
          </w:tcPr>
          <w:p>
            <w:pPr>
              <w:rPr>
                <w:rFonts w:cs="仿宋" w:asciiTheme="minorEastAsia" w:hAnsiTheme="minorEastAsia"/>
                <w:kern w:val="0"/>
                <w:sz w:val="20"/>
                <w:szCs w:val="20"/>
              </w:rPr>
            </w:pPr>
            <w:r>
              <w:rPr>
                <w:rFonts w:cs="TimesNewRomanPSMT" w:asciiTheme="minorEastAsia" w:hAnsiTheme="minorEastAsia"/>
                <w:kern w:val="0"/>
                <w:sz w:val="20"/>
                <w:szCs w:val="20"/>
              </w:rPr>
              <w:t>1</w:t>
            </w:r>
            <w:r>
              <w:rPr>
                <w:rFonts w:hint="eastAsia" w:cs="仿宋" w:asciiTheme="minorEastAsia" w:hAnsiTheme="minorEastAsia"/>
                <w:kern w:val="0"/>
                <w:sz w:val="20"/>
                <w:szCs w:val="20"/>
              </w:rPr>
              <w:t>、根据所投产品的整体技术性能是否符合采购需求，得</w:t>
            </w:r>
            <w:r>
              <w:rPr>
                <w:rFonts w:cs="TimesNewRomanPSMT" w:asciiTheme="minorEastAsia" w:hAnsiTheme="minorEastAsia"/>
                <w:kern w:val="0"/>
                <w:sz w:val="20"/>
                <w:szCs w:val="20"/>
              </w:rPr>
              <w:t xml:space="preserve">0-3 </w:t>
            </w:r>
            <w:r>
              <w:rPr>
                <w:rFonts w:hint="eastAsia" w:cs="仿宋" w:asciiTheme="minorEastAsia" w:hAnsiTheme="minorEastAsia"/>
                <w:kern w:val="0"/>
                <w:sz w:val="20"/>
                <w:szCs w:val="20"/>
              </w:rPr>
              <w:t>分；</w:t>
            </w:r>
          </w:p>
          <w:p>
            <w:pPr>
              <w:rPr>
                <w:rFonts w:cs="仿宋" w:asciiTheme="minorEastAsia" w:hAnsiTheme="minorEastAsia"/>
                <w:kern w:val="0"/>
                <w:sz w:val="20"/>
                <w:szCs w:val="20"/>
              </w:rPr>
            </w:pPr>
            <w:r>
              <w:rPr>
                <w:rFonts w:cs="TimesNewRomanPSMT" w:asciiTheme="minorEastAsia" w:hAnsiTheme="minorEastAsia"/>
                <w:kern w:val="0"/>
                <w:sz w:val="20"/>
                <w:szCs w:val="20"/>
              </w:rPr>
              <w:t>2</w:t>
            </w:r>
            <w:r>
              <w:rPr>
                <w:rFonts w:hint="eastAsia" w:cs="仿宋" w:asciiTheme="minorEastAsia" w:hAnsiTheme="minorEastAsia"/>
                <w:kern w:val="0"/>
                <w:sz w:val="20"/>
                <w:szCs w:val="20"/>
              </w:rPr>
              <w:t>、所投产品配置是否全面，得</w:t>
            </w:r>
            <w:r>
              <w:rPr>
                <w:rFonts w:cs="TimesNewRomanPSMT" w:asciiTheme="minorEastAsia" w:hAnsiTheme="minorEastAsia"/>
                <w:kern w:val="0"/>
                <w:sz w:val="20"/>
                <w:szCs w:val="20"/>
              </w:rPr>
              <w:t xml:space="preserve">0-3 </w:t>
            </w:r>
            <w:r>
              <w:rPr>
                <w:rFonts w:hint="eastAsia" w:cs="仿宋" w:asciiTheme="minorEastAsia" w:hAnsiTheme="minorEastAsia"/>
                <w:kern w:val="0"/>
                <w:sz w:val="20"/>
                <w:szCs w:val="20"/>
              </w:rPr>
              <w:t>分；</w:t>
            </w:r>
          </w:p>
          <w:p>
            <w:pPr>
              <w:rPr>
                <w:rFonts w:cs="仿宋" w:asciiTheme="minorEastAsia" w:hAnsiTheme="minorEastAsia"/>
                <w:kern w:val="0"/>
                <w:sz w:val="20"/>
                <w:szCs w:val="20"/>
              </w:rPr>
            </w:pPr>
            <w:r>
              <w:rPr>
                <w:rFonts w:cs="TimesNewRomanPSMT" w:asciiTheme="minorEastAsia" w:hAnsiTheme="minorEastAsia"/>
                <w:kern w:val="0"/>
                <w:sz w:val="20"/>
                <w:szCs w:val="20"/>
              </w:rPr>
              <w:t>3</w:t>
            </w:r>
            <w:r>
              <w:rPr>
                <w:rFonts w:hint="eastAsia" w:cs="仿宋" w:asciiTheme="minorEastAsia" w:hAnsiTheme="minorEastAsia"/>
                <w:kern w:val="0"/>
                <w:sz w:val="20"/>
                <w:szCs w:val="20"/>
              </w:rPr>
              <w:t>、根据所投产品后期使用成本高低，得</w:t>
            </w:r>
            <w:r>
              <w:rPr>
                <w:rFonts w:cs="TimesNewRomanPSMT" w:asciiTheme="minorEastAsia" w:hAnsiTheme="minorEastAsia"/>
                <w:kern w:val="0"/>
                <w:sz w:val="20"/>
                <w:szCs w:val="20"/>
              </w:rPr>
              <w:t xml:space="preserve">0-3 </w:t>
            </w:r>
            <w:r>
              <w:rPr>
                <w:rFonts w:hint="eastAsia" w:cs="仿宋" w:asciiTheme="minorEastAsia" w:hAnsiTheme="minorEastAsia"/>
                <w:kern w:val="0"/>
                <w:sz w:val="20"/>
                <w:szCs w:val="20"/>
              </w:rPr>
              <w:t>分；</w:t>
            </w:r>
          </w:p>
          <w:p>
            <w:pPr>
              <w:rPr>
                <w:rFonts w:cs="仿宋" w:asciiTheme="minorEastAsia" w:hAnsiTheme="minorEastAsia"/>
                <w:kern w:val="0"/>
                <w:sz w:val="20"/>
                <w:szCs w:val="20"/>
              </w:rPr>
            </w:pPr>
            <w:r>
              <w:rPr>
                <w:rFonts w:cs="TimesNewRomanPSMT" w:asciiTheme="minorEastAsia" w:hAnsiTheme="minorEastAsia"/>
                <w:kern w:val="0"/>
                <w:sz w:val="20"/>
                <w:szCs w:val="20"/>
              </w:rPr>
              <w:t>4</w:t>
            </w:r>
            <w:r>
              <w:rPr>
                <w:rFonts w:hint="eastAsia" w:cs="仿宋" w:asciiTheme="minorEastAsia" w:hAnsiTheme="minorEastAsia"/>
                <w:kern w:val="0"/>
                <w:sz w:val="20"/>
                <w:szCs w:val="20"/>
              </w:rPr>
              <w:t>、根据所投产品使用是否稳定、是否易于维护，得</w:t>
            </w:r>
            <w:r>
              <w:rPr>
                <w:rFonts w:cs="TimesNewRomanPSMT" w:asciiTheme="minorEastAsia" w:hAnsiTheme="minorEastAsia"/>
                <w:kern w:val="0"/>
                <w:sz w:val="20"/>
                <w:szCs w:val="20"/>
              </w:rPr>
              <w:t xml:space="preserve">0-3 </w:t>
            </w:r>
            <w:r>
              <w:rPr>
                <w:rFonts w:hint="eastAsia" w:cs="仿宋" w:asciiTheme="minorEastAsia" w:hAnsiTheme="minorEastAsia"/>
                <w:kern w:val="0"/>
                <w:sz w:val="20"/>
                <w:szCs w:val="20"/>
              </w:rPr>
              <w:t>分；</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cs="TimesNewRomanPSMT" w:asciiTheme="minorEastAsia" w:hAnsiTheme="minorEastAsia"/>
                <w:kern w:val="0"/>
                <w:sz w:val="20"/>
                <w:szCs w:val="20"/>
              </w:rPr>
              <w:t>5</w:t>
            </w:r>
            <w:r>
              <w:rPr>
                <w:rFonts w:hint="eastAsia" w:cs="仿宋" w:asciiTheme="minorEastAsia" w:hAnsiTheme="minorEastAsia"/>
                <w:kern w:val="0"/>
                <w:sz w:val="20"/>
                <w:szCs w:val="20"/>
              </w:rPr>
              <w:t>、根据所投产品是否配套和兼容，得</w:t>
            </w:r>
            <w:r>
              <w:rPr>
                <w:rFonts w:cs="TimesNewRomanPSMT" w:asciiTheme="minorEastAsia" w:hAnsiTheme="minorEastAsia"/>
                <w:kern w:val="0"/>
                <w:sz w:val="20"/>
                <w:szCs w:val="20"/>
              </w:rPr>
              <w:t xml:space="preserve">0-3 </w:t>
            </w:r>
            <w:r>
              <w:rPr>
                <w:rFonts w:hint="eastAsia" w:cs="仿宋" w:asciiTheme="minorEastAsia" w:hAnsiTheme="minorEastAsia"/>
                <w:kern w:val="0"/>
                <w:sz w:val="20"/>
                <w:szCs w:val="20"/>
              </w:rPr>
              <w:t>分。</w:t>
            </w:r>
          </w:p>
        </w:tc>
        <w:tc>
          <w:tcPr>
            <w:tcW w:w="1417" w:type="dxa"/>
          </w:tcPr>
          <w:p>
            <w:pPr>
              <w:spacing w:before="60" w:after="60"/>
              <w:ind w:firstLine="380" w:firstLineChars="19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asciiTheme="minorEastAsia" w:hAnsiTheme="minorEastAsia"/>
                <w:color w:val="000000" w:themeColor="text1"/>
                <w:kern w:val="0"/>
                <w:sz w:val="20"/>
                <w:szCs w:val="20"/>
                <w14:textFill>
                  <w14:solidFill>
                    <w14:schemeClr w14:val="tx1"/>
                  </w14:solidFill>
                </w14:textFill>
              </w:rPr>
              <w:t>产品</w:t>
            </w:r>
            <w:r>
              <w:rPr>
                <w:rFonts w:hint="eastAsia" w:asciiTheme="minorEastAsia" w:hAnsiTheme="minorEastAsia"/>
                <w:color w:val="000000" w:themeColor="text1"/>
                <w:kern w:val="0"/>
                <w:sz w:val="20"/>
                <w:szCs w:val="20"/>
                <w14:textFill>
                  <w14:solidFill>
                    <w14:schemeClr w14:val="tx1"/>
                  </w14:solidFill>
                </w14:textFill>
              </w:rPr>
              <w:t>技术先进性及特色</w:t>
            </w:r>
          </w:p>
        </w:tc>
        <w:tc>
          <w:tcPr>
            <w:tcW w:w="5414" w:type="dxa"/>
            <w:vAlign w:val="center"/>
          </w:tcPr>
          <w:p>
            <w:pPr>
              <w:rPr>
                <w:rFonts w:cs="仿宋" w:asciiTheme="minorEastAsia" w:hAnsiTheme="minorEastAsia"/>
                <w:kern w:val="0"/>
                <w:sz w:val="20"/>
                <w:szCs w:val="20"/>
              </w:rPr>
            </w:pPr>
            <w:r>
              <w:rPr>
                <w:rFonts w:hint="eastAsia" w:cs="仿宋" w:asciiTheme="minorEastAsia" w:hAnsiTheme="minorEastAsia"/>
                <w:kern w:val="0"/>
                <w:sz w:val="20"/>
                <w:szCs w:val="20"/>
              </w:rPr>
              <w:t>基准分</w:t>
            </w:r>
            <w:r>
              <w:rPr>
                <w:rFonts w:cs="仿宋" w:asciiTheme="minorEastAsia" w:hAnsiTheme="minorEastAsia"/>
                <w:kern w:val="0"/>
                <w:sz w:val="20"/>
                <w:szCs w:val="20"/>
              </w:rPr>
              <w:t xml:space="preserve">0 </w:t>
            </w:r>
            <w:r>
              <w:rPr>
                <w:rFonts w:hint="eastAsia" w:cs="仿宋" w:asciiTheme="minorEastAsia" w:hAnsiTheme="minorEastAsia"/>
                <w:kern w:val="0"/>
                <w:sz w:val="20"/>
                <w:szCs w:val="20"/>
              </w:rPr>
              <w:t>分，在招标文件参数要求以外的经评标委员会成员共同认定</w:t>
            </w:r>
          </w:p>
          <w:p>
            <w:pPr>
              <w:rPr>
                <w:rFonts w:cs="仿宋" w:asciiTheme="minorEastAsia" w:hAnsiTheme="minorEastAsia"/>
                <w:kern w:val="0"/>
                <w:sz w:val="20"/>
                <w:szCs w:val="20"/>
              </w:rPr>
            </w:pPr>
            <w:r>
              <w:rPr>
                <w:rFonts w:hint="eastAsia" w:cs="仿宋" w:asciiTheme="minorEastAsia" w:hAnsiTheme="minorEastAsia"/>
                <w:kern w:val="0"/>
                <w:sz w:val="20"/>
                <w:szCs w:val="20"/>
              </w:rPr>
              <w:t>的，按其实用及重要程度：</w:t>
            </w:r>
          </w:p>
          <w:p>
            <w:pPr>
              <w:rPr>
                <w:rFonts w:cs="仿宋" w:asciiTheme="minorEastAsia" w:hAnsiTheme="minorEastAsia"/>
                <w:kern w:val="0"/>
                <w:sz w:val="20"/>
                <w:szCs w:val="20"/>
              </w:rPr>
            </w:pPr>
            <w:r>
              <w:rPr>
                <w:rFonts w:cs="仿宋" w:asciiTheme="minorEastAsia" w:hAnsiTheme="minorEastAsia"/>
                <w:kern w:val="0"/>
                <w:sz w:val="20"/>
                <w:szCs w:val="20"/>
              </w:rPr>
              <w:t>1</w:t>
            </w:r>
            <w:r>
              <w:rPr>
                <w:rFonts w:hint="eastAsia" w:cs="仿宋" w:asciiTheme="minorEastAsia" w:hAnsiTheme="minorEastAsia"/>
                <w:kern w:val="0"/>
                <w:sz w:val="20"/>
                <w:szCs w:val="20"/>
              </w:rPr>
              <w:t>、产品具有特色技术，得</w:t>
            </w:r>
            <w:r>
              <w:rPr>
                <w:rFonts w:cs="仿宋" w:asciiTheme="minorEastAsia" w:hAnsiTheme="minorEastAsia"/>
                <w:kern w:val="0"/>
                <w:sz w:val="20"/>
                <w:szCs w:val="20"/>
              </w:rPr>
              <w:t>0-</w:t>
            </w:r>
            <w:r>
              <w:rPr>
                <w:rFonts w:hint="eastAsia" w:cs="仿宋" w:asciiTheme="minorEastAsia" w:hAnsiTheme="minorEastAsia"/>
                <w:kern w:val="0"/>
                <w:sz w:val="20"/>
                <w:szCs w:val="20"/>
              </w:rPr>
              <w:t>5</w:t>
            </w:r>
            <w:r>
              <w:rPr>
                <w:rFonts w:cs="仿宋" w:asciiTheme="minorEastAsia" w:hAnsiTheme="minorEastAsia"/>
                <w:kern w:val="0"/>
                <w:sz w:val="20"/>
                <w:szCs w:val="20"/>
              </w:rPr>
              <w:t xml:space="preserve"> </w:t>
            </w:r>
            <w:r>
              <w:rPr>
                <w:rFonts w:hint="eastAsia" w:cs="仿宋" w:asciiTheme="minorEastAsia" w:hAnsiTheme="minorEastAsia"/>
                <w:kern w:val="0"/>
                <w:sz w:val="20"/>
                <w:szCs w:val="20"/>
              </w:rPr>
              <w:t>分；</w:t>
            </w:r>
          </w:p>
          <w:p>
            <w:pPr>
              <w:rPr>
                <w:rFonts w:cs="仿宋" w:asciiTheme="minorEastAsia" w:hAnsiTheme="minorEastAsia"/>
                <w:kern w:val="0"/>
                <w:sz w:val="20"/>
                <w:szCs w:val="20"/>
              </w:rPr>
            </w:pPr>
            <w:r>
              <w:rPr>
                <w:rFonts w:cs="仿宋" w:asciiTheme="minorEastAsia" w:hAnsiTheme="minorEastAsia"/>
                <w:kern w:val="0"/>
                <w:sz w:val="20"/>
                <w:szCs w:val="20"/>
              </w:rPr>
              <w:t>2</w:t>
            </w:r>
            <w:r>
              <w:rPr>
                <w:rFonts w:hint="eastAsia" w:cs="仿宋" w:asciiTheme="minorEastAsia" w:hAnsiTheme="minorEastAsia"/>
                <w:kern w:val="0"/>
                <w:sz w:val="20"/>
                <w:szCs w:val="20"/>
              </w:rPr>
              <w:t>、产品具有创新技术，得</w:t>
            </w:r>
            <w:r>
              <w:rPr>
                <w:rFonts w:cs="仿宋" w:asciiTheme="minorEastAsia" w:hAnsiTheme="minorEastAsia"/>
                <w:kern w:val="0"/>
                <w:sz w:val="20"/>
                <w:szCs w:val="20"/>
              </w:rPr>
              <w:t>0-</w:t>
            </w:r>
            <w:r>
              <w:rPr>
                <w:rFonts w:hint="eastAsia" w:cs="仿宋" w:asciiTheme="minorEastAsia" w:hAnsiTheme="minorEastAsia"/>
                <w:kern w:val="0"/>
                <w:sz w:val="20"/>
                <w:szCs w:val="20"/>
              </w:rPr>
              <w:t>5</w:t>
            </w:r>
            <w:r>
              <w:rPr>
                <w:rFonts w:cs="仿宋" w:asciiTheme="minorEastAsia" w:hAnsiTheme="minorEastAsia"/>
                <w:kern w:val="0"/>
                <w:sz w:val="20"/>
                <w:szCs w:val="20"/>
              </w:rPr>
              <w:t xml:space="preserve"> </w:t>
            </w:r>
            <w:r>
              <w:rPr>
                <w:rFonts w:hint="eastAsia" w:cs="仿宋" w:asciiTheme="minorEastAsia" w:hAnsiTheme="minorEastAsia"/>
                <w:kern w:val="0"/>
                <w:sz w:val="20"/>
                <w:szCs w:val="20"/>
              </w:rPr>
              <w:t>分；</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cs="仿宋" w:asciiTheme="minorEastAsia" w:hAnsiTheme="minorEastAsia"/>
                <w:kern w:val="0"/>
                <w:sz w:val="20"/>
                <w:szCs w:val="20"/>
              </w:rPr>
              <w:t>3</w:t>
            </w:r>
            <w:r>
              <w:rPr>
                <w:rFonts w:hint="eastAsia" w:cs="仿宋" w:asciiTheme="minorEastAsia" w:hAnsiTheme="minorEastAsia"/>
                <w:kern w:val="0"/>
                <w:sz w:val="20"/>
                <w:szCs w:val="20"/>
              </w:rPr>
              <w:t>、产品具有技术的可升级性，得</w:t>
            </w:r>
            <w:r>
              <w:rPr>
                <w:rFonts w:cs="仿宋" w:asciiTheme="minorEastAsia" w:hAnsiTheme="minorEastAsia"/>
                <w:kern w:val="0"/>
                <w:sz w:val="20"/>
                <w:szCs w:val="20"/>
              </w:rPr>
              <w:t>0-</w:t>
            </w:r>
            <w:r>
              <w:rPr>
                <w:rFonts w:hint="eastAsia" w:cs="仿宋" w:asciiTheme="minorEastAsia" w:hAnsiTheme="minorEastAsia"/>
                <w:kern w:val="0"/>
                <w:sz w:val="20"/>
                <w:szCs w:val="20"/>
              </w:rPr>
              <w:t>5</w:t>
            </w:r>
            <w:r>
              <w:rPr>
                <w:rFonts w:cs="仿宋" w:asciiTheme="minorEastAsia" w:hAnsiTheme="minorEastAsia"/>
                <w:kern w:val="0"/>
                <w:sz w:val="20"/>
                <w:szCs w:val="20"/>
              </w:rPr>
              <w:t xml:space="preserve"> </w:t>
            </w:r>
            <w:r>
              <w:rPr>
                <w:rFonts w:hint="eastAsia" w:cs="仿宋" w:asciiTheme="minorEastAsia" w:hAnsiTheme="minorEastAsia"/>
                <w:kern w:val="0"/>
                <w:sz w:val="20"/>
                <w:szCs w:val="20"/>
              </w:rPr>
              <w:t>分。</w:t>
            </w:r>
          </w:p>
        </w:tc>
        <w:tc>
          <w:tcPr>
            <w:tcW w:w="1417"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asciiTheme="minorEastAsia" w:hAnsiTheme="minorEastAsia"/>
                <w:color w:val="000000" w:themeColor="text1"/>
                <w:kern w:val="0"/>
                <w:sz w:val="20"/>
                <w:szCs w:val="20"/>
                <w14:textFill>
                  <w14:solidFill>
                    <w14:schemeClr w14:val="tx1"/>
                  </w14:solidFill>
                </w14:textFill>
              </w:rPr>
            </w:pPr>
            <w:r>
              <w:rPr>
                <w:rFonts w:hint="eastAsia" w:asciiTheme="minorEastAsia" w:hAnsiTheme="minorEastAsia"/>
                <w:color w:val="000000" w:themeColor="text1"/>
                <w:kern w:val="0"/>
                <w:sz w:val="20"/>
                <w:szCs w:val="20"/>
                <w14:textFill>
                  <w14:solidFill>
                    <w14:schemeClr w14:val="tx1"/>
                  </w14:solidFill>
                </w14:textFill>
              </w:rPr>
              <w:t>功能验证</w:t>
            </w:r>
          </w:p>
        </w:tc>
        <w:tc>
          <w:tcPr>
            <w:tcW w:w="5414" w:type="dxa"/>
            <w:vAlign w:val="center"/>
          </w:tcPr>
          <w:p>
            <w:pPr>
              <w:spacing w:line="360" w:lineRule="auto"/>
              <w:ind w:firstLine="100" w:firstLineChars="5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1、满足功能：当服务器或存储单独发生故障时，容灾备份设备可以完成代替并接管。</w:t>
            </w:r>
          </w:p>
          <w:p>
            <w:pPr>
              <w:spacing w:line="360" w:lineRule="auto"/>
              <w:ind w:firstLine="100" w:firstLineChars="5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2、满足功能：可以月/周/天/小时/分钟为周期单位产生数据副本，并支持副本复合技术。</w:t>
            </w:r>
          </w:p>
          <w:p>
            <w:pPr>
              <w:spacing w:line="360" w:lineRule="auto"/>
              <w:ind w:firstLine="100" w:firstLineChars="5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3、满足功能：同一LUN的多个时间点的数据副本，可同时提取进行验证/查询比对操作。</w:t>
            </w:r>
          </w:p>
          <w:p>
            <w:pPr>
              <w:spacing w:line="360" w:lineRule="auto"/>
              <w:ind w:firstLine="100" w:firstLineChars="5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4、满足功能：兼容多种操作系统，系统发生故障通过HMC挂载容灾机的任意时间点，接管时间≤10分钟且保护过程CPU≤1，内存≤50M。</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以上功能能有效提供验证系统截图的，每个加3分，没有或不满足不得分。</w:t>
            </w:r>
          </w:p>
        </w:tc>
        <w:tc>
          <w:tcPr>
            <w:tcW w:w="1417"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服务支持</w:t>
            </w:r>
          </w:p>
          <w:p>
            <w:pPr>
              <w:spacing w:before="60" w:after="60"/>
              <w:rPr>
                <w:rFonts w:cs="宋体" w:asciiTheme="minorEastAsia" w:hAnsiTheme="minorEastAsia"/>
                <w:color w:val="000000" w:themeColor="text1"/>
                <w:kern w:val="0"/>
                <w:sz w:val="20"/>
                <w:szCs w:val="20"/>
                <w14:textFill>
                  <w14:solidFill>
                    <w14:schemeClr w14:val="tx1"/>
                  </w14:solidFill>
                </w14:textFill>
              </w:rPr>
            </w:pPr>
          </w:p>
        </w:tc>
        <w:tc>
          <w:tcPr>
            <w:tcW w:w="5414" w:type="dxa"/>
            <w:vAlign w:val="center"/>
          </w:tcPr>
          <w:p>
            <w:pPr>
              <w:rPr>
                <w:rFonts w:cs="仿宋" w:asciiTheme="minorEastAsia" w:hAnsiTheme="minorEastAsia"/>
                <w:kern w:val="0"/>
                <w:sz w:val="20"/>
                <w:szCs w:val="20"/>
              </w:rPr>
            </w:pPr>
            <w:r>
              <w:rPr>
                <w:rFonts w:cs="仿宋" w:asciiTheme="minorEastAsia" w:hAnsiTheme="minorEastAsia"/>
                <w:kern w:val="0"/>
                <w:sz w:val="20"/>
                <w:szCs w:val="20"/>
              </w:rPr>
              <w:t>1</w:t>
            </w:r>
            <w:r>
              <w:rPr>
                <w:rFonts w:hint="eastAsia" w:cs="仿宋" w:asciiTheme="minorEastAsia" w:hAnsiTheme="minorEastAsia"/>
                <w:kern w:val="0"/>
                <w:sz w:val="20"/>
                <w:szCs w:val="20"/>
              </w:rPr>
              <w:t>、根据供应商的售后服务方案、服务保障能力等，得</w:t>
            </w:r>
            <w:r>
              <w:rPr>
                <w:rFonts w:cs="仿宋" w:asciiTheme="minorEastAsia" w:hAnsiTheme="minorEastAsia"/>
                <w:kern w:val="0"/>
                <w:sz w:val="20"/>
                <w:szCs w:val="20"/>
              </w:rPr>
              <w:t>0-</w:t>
            </w:r>
            <w:r>
              <w:rPr>
                <w:rFonts w:hint="eastAsia" w:cs="仿宋" w:asciiTheme="minorEastAsia" w:hAnsiTheme="minorEastAsia"/>
                <w:kern w:val="0"/>
                <w:sz w:val="20"/>
                <w:szCs w:val="20"/>
              </w:rPr>
              <w:t>2</w:t>
            </w:r>
            <w:r>
              <w:rPr>
                <w:rFonts w:cs="仿宋" w:asciiTheme="minorEastAsia" w:hAnsiTheme="minorEastAsia"/>
                <w:kern w:val="0"/>
                <w:sz w:val="20"/>
                <w:szCs w:val="20"/>
              </w:rPr>
              <w:t xml:space="preserve"> </w:t>
            </w:r>
            <w:r>
              <w:rPr>
                <w:rFonts w:hint="eastAsia" w:cs="仿宋" w:asciiTheme="minorEastAsia" w:hAnsiTheme="minorEastAsia"/>
                <w:kern w:val="0"/>
                <w:sz w:val="20"/>
                <w:szCs w:val="20"/>
              </w:rPr>
              <w:t>分；</w:t>
            </w:r>
          </w:p>
          <w:p>
            <w:pPr>
              <w:rPr>
                <w:rFonts w:cs="仿宋" w:asciiTheme="minorEastAsia" w:hAnsiTheme="minorEastAsia"/>
                <w:kern w:val="0"/>
                <w:sz w:val="20"/>
                <w:szCs w:val="20"/>
              </w:rPr>
            </w:pPr>
            <w:r>
              <w:rPr>
                <w:rFonts w:cs="仿宋" w:asciiTheme="minorEastAsia" w:hAnsiTheme="minorEastAsia"/>
                <w:kern w:val="0"/>
                <w:sz w:val="20"/>
                <w:szCs w:val="20"/>
              </w:rPr>
              <w:t>2</w:t>
            </w:r>
            <w:r>
              <w:rPr>
                <w:rFonts w:hint="eastAsia" w:cs="仿宋" w:asciiTheme="minorEastAsia" w:hAnsiTheme="minorEastAsia"/>
                <w:kern w:val="0"/>
                <w:sz w:val="20"/>
                <w:szCs w:val="20"/>
              </w:rPr>
              <w:t>、根据供应商的人员的配备、响应时间、技术支持、培训方案等，得</w:t>
            </w:r>
            <w:r>
              <w:rPr>
                <w:rFonts w:cs="仿宋" w:asciiTheme="minorEastAsia" w:hAnsiTheme="minorEastAsia"/>
                <w:kern w:val="0"/>
                <w:sz w:val="20"/>
                <w:szCs w:val="20"/>
              </w:rPr>
              <w:t>0-</w:t>
            </w:r>
            <w:r>
              <w:rPr>
                <w:rFonts w:hint="eastAsia" w:cs="仿宋" w:asciiTheme="minorEastAsia" w:hAnsiTheme="minorEastAsia"/>
                <w:kern w:val="0"/>
                <w:sz w:val="20"/>
                <w:szCs w:val="20"/>
              </w:rPr>
              <w:t>3</w:t>
            </w:r>
            <w:r>
              <w:rPr>
                <w:rFonts w:cs="仿宋" w:asciiTheme="minorEastAsia" w:hAnsiTheme="minorEastAsia"/>
                <w:kern w:val="0"/>
                <w:sz w:val="20"/>
                <w:szCs w:val="20"/>
              </w:rPr>
              <w:t xml:space="preserve"> </w:t>
            </w:r>
            <w:r>
              <w:rPr>
                <w:rFonts w:hint="eastAsia" w:cs="仿宋" w:asciiTheme="minorEastAsia" w:hAnsiTheme="minorEastAsia"/>
                <w:kern w:val="0"/>
                <w:sz w:val="20"/>
                <w:szCs w:val="20"/>
              </w:rPr>
              <w:t>分；</w:t>
            </w:r>
          </w:p>
        </w:tc>
        <w:tc>
          <w:tcPr>
            <w:tcW w:w="1417"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企业资质</w:t>
            </w:r>
          </w:p>
        </w:tc>
        <w:tc>
          <w:tcPr>
            <w:tcW w:w="5414" w:type="dxa"/>
            <w:vAlign w:val="center"/>
          </w:tcPr>
          <w:p>
            <w:pPr>
              <w:spacing w:line="360" w:lineRule="auto"/>
              <w:ind w:firstLine="400" w:firstLineChars="200"/>
              <w:rPr>
                <w:rFonts w:cs="仿宋" w:asciiTheme="minorEastAsia" w:hAnsiTheme="minorEastAsia"/>
                <w:kern w:val="0"/>
                <w:sz w:val="20"/>
                <w:szCs w:val="20"/>
                <w:lang w:val="zh-CN"/>
              </w:rPr>
            </w:pPr>
            <w:r>
              <w:rPr>
                <w:rFonts w:hint="eastAsia" w:cs="仿宋" w:asciiTheme="minorEastAsia" w:hAnsiTheme="minorEastAsia"/>
                <w:kern w:val="0"/>
                <w:sz w:val="20"/>
                <w:szCs w:val="20"/>
                <w:lang w:val="zh-CN"/>
              </w:rPr>
              <w:t>1.投标人具备</w:t>
            </w:r>
            <w:r>
              <w:rPr>
                <w:rFonts w:hint="eastAsia"/>
                <w:kern w:val="0"/>
                <w:sz w:val="20"/>
                <w:szCs w:val="20"/>
              </w:rPr>
              <w:t xml:space="preserve"> </w:t>
            </w:r>
            <w:r>
              <w:rPr>
                <w:rFonts w:hint="eastAsia" w:cs="仿宋" w:asciiTheme="minorEastAsia" w:hAnsiTheme="minorEastAsia"/>
                <w:kern w:val="0"/>
                <w:sz w:val="20"/>
                <w:szCs w:val="20"/>
                <w:lang w:val="zh-CN"/>
              </w:rPr>
              <w:t>ISO27001信息安全管理体系认证，得1分，投标时提供证书原件，无原件不得分。</w:t>
            </w:r>
          </w:p>
          <w:p>
            <w:pPr>
              <w:ind w:firstLine="400" w:firstLineChars="200"/>
              <w:rPr>
                <w:rFonts w:cs="仿宋" w:asciiTheme="minorEastAsia" w:hAnsiTheme="minorEastAsia"/>
                <w:color w:val="000000" w:themeColor="text1"/>
                <w:kern w:val="0"/>
                <w:sz w:val="20"/>
                <w:szCs w:val="20"/>
                <w:lang w:val="zh-CN"/>
                <w14:textFill>
                  <w14:solidFill>
                    <w14:schemeClr w14:val="tx1"/>
                  </w14:solidFill>
                </w14:textFill>
              </w:rPr>
            </w:pPr>
            <w:r>
              <w:rPr>
                <w:rFonts w:hint="eastAsia" w:cs="仿宋" w:asciiTheme="minorEastAsia" w:hAnsiTheme="minorEastAsia"/>
                <w:color w:val="000000" w:themeColor="text1"/>
                <w:kern w:val="0"/>
                <w:sz w:val="20"/>
                <w:szCs w:val="20"/>
                <w:lang w:val="zh-CN"/>
                <w14:textFill>
                  <w14:solidFill>
                    <w14:schemeClr w14:val="tx1"/>
                  </w14:solidFill>
                </w14:textFill>
              </w:rPr>
              <w:t>2.投标人具备CMMI三级资质认证，得1分，投标时提供证书原件，无原件不得分。</w:t>
            </w:r>
          </w:p>
          <w:p>
            <w:pPr>
              <w:ind w:firstLine="400" w:firstLineChars="200"/>
              <w:rPr>
                <w:rFonts w:cs="仿宋" w:asciiTheme="minorEastAsia" w:hAnsiTheme="minorEastAsia"/>
                <w:color w:val="000000" w:themeColor="text1"/>
                <w:kern w:val="0"/>
                <w:sz w:val="20"/>
                <w:szCs w:val="20"/>
                <w:lang w:val="zh-CN"/>
                <w14:textFill>
                  <w14:solidFill>
                    <w14:schemeClr w14:val="tx1"/>
                  </w14:solidFill>
                </w14:textFill>
              </w:rPr>
            </w:pPr>
            <w:r>
              <w:rPr>
                <w:rFonts w:hint="eastAsia" w:cs="仿宋" w:asciiTheme="minorEastAsia" w:hAnsiTheme="minorEastAsia"/>
                <w:color w:val="000000" w:themeColor="text1"/>
                <w:kern w:val="0"/>
                <w:sz w:val="20"/>
                <w:szCs w:val="20"/>
                <w:lang w:val="zh-CN"/>
                <w14:textFill>
                  <w14:solidFill>
                    <w14:schemeClr w14:val="tx1"/>
                  </w14:solidFill>
                </w14:textFill>
              </w:rPr>
              <w:t>3.投标人具备ITSS信息</w:t>
            </w:r>
            <w:r>
              <w:rPr>
                <w:rFonts w:cs="仿宋" w:asciiTheme="minorEastAsia" w:hAnsiTheme="minorEastAsia"/>
                <w:color w:val="000000" w:themeColor="text1"/>
                <w:kern w:val="0"/>
                <w:sz w:val="20"/>
                <w:szCs w:val="20"/>
                <w:lang w:val="zh-CN"/>
                <w14:textFill>
                  <w14:solidFill>
                    <w14:schemeClr w14:val="tx1"/>
                  </w14:solidFill>
                </w14:textFill>
              </w:rPr>
              <w:t>技术服务</w:t>
            </w:r>
            <w:r>
              <w:rPr>
                <w:rFonts w:hint="eastAsia" w:cs="仿宋" w:asciiTheme="minorEastAsia" w:hAnsiTheme="minorEastAsia"/>
                <w:color w:val="000000" w:themeColor="text1"/>
                <w:kern w:val="0"/>
                <w:sz w:val="20"/>
                <w:szCs w:val="20"/>
                <w:lang w:val="zh-CN"/>
                <w14:textFill>
                  <w14:solidFill>
                    <w14:schemeClr w14:val="tx1"/>
                  </w14:solidFill>
                </w14:textFill>
              </w:rPr>
              <w:t>标准体系认证，得1分，最投标时提供证书原件，无原件不得分。</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开标时须提供以上证明加盖投标人公章。</w:t>
            </w:r>
          </w:p>
        </w:tc>
        <w:tc>
          <w:tcPr>
            <w:tcW w:w="1417"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合计</w:t>
            </w:r>
          </w:p>
        </w:tc>
        <w:tc>
          <w:tcPr>
            <w:tcW w:w="5414"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p>
        </w:tc>
        <w:tc>
          <w:tcPr>
            <w:tcW w:w="1417" w:type="dxa"/>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100分</w:t>
            </w:r>
          </w:p>
        </w:tc>
      </w:tr>
    </w:tbl>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bookmarkEnd w:id="1"/>
    <w:bookmarkEnd w:id="2"/>
    <w:bookmarkEnd w:id="3"/>
    <w:bookmarkEnd w:id="4"/>
    <w:bookmarkEnd w:id="5"/>
    <w:bookmarkEnd w:id="6"/>
    <w:bookmarkEnd w:id="7"/>
    <w:p>
      <w:pPr>
        <w:jc w:val="center"/>
        <w:rPr>
          <w:b/>
          <w:sz w:val="28"/>
          <w:szCs w:val="28"/>
        </w:rPr>
      </w:pPr>
      <w:r>
        <w:rPr>
          <w:rFonts w:hint="eastAsia"/>
          <w:b/>
          <w:sz w:val="28"/>
          <w:szCs w:val="28"/>
        </w:rPr>
        <w:t>第四章响应文件附件部分格式</w:t>
      </w:r>
    </w:p>
    <w:p>
      <w:pPr>
        <w:rPr>
          <w:sz w:val="28"/>
          <w:szCs w:val="28"/>
        </w:rPr>
      </w:pPr>
      <w:r>
        <w:rPr>
          <w:rFonts w:hint="eastAsia"/>
          <w:sz w:val="28"/>
          <w:szCs w:val="28"/>
        </w:rPr>
        <w:t>附件一：封面</w:t>
      </w:r>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8" w:name="OLE_LINK24"/>
      <w:bookmarkStart w:id="9" w:name="OLE_LINK23"/>
      <w:bookmarkStart w:id="10" w:name="OLE_LINK22"/>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11" w:name="OLE_LINK31"/>
      <w:bookmarkStart w:id="12" w:name="OLE_LINK30"/>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Heiti SC Light"/>
          <w:kern w:val="1"/>
          <w:sz w:val="32"/>
          <w:szCs w:val="32"/>
        </w:rPr>
      </w:pPr>
      <w:r>
        <w:rPr>
          <w:rFonts w:hint="eastAsia" w:ascii="宋体" w:hAnsi="宋体" w:eastAsia="宋体" w:cs="Heiti SC Light"/>
          <w:kern w:val="1"/>
          <w:sz w:val="32"/>
          <w:szCs w:val="32"/>
        </w:rPr>
        <w:t>包：第包</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Times New Roman"/>
          <w:kern w:val="1"/>
          <w:sz w:val="32"/>
          <w:szCs w:val="32"/>
        </w:rPr>
      </w:pPr>
      <w:r>
        <w:rPr>
          <w:rFonts w:hint="eastAsia" w:ascii="宋体" w:hAnsi="宋体" w:eastAsia="宋体" w:cs="仿宋"/>
          <w:kern w:val="1"/>
          <w:sz w:val="32"/>
          <w:szCs w:val="32"/>
        </w:rPr>
        <w:t>二〇年月日</w:t>
      </w:r>
    </w:p>
    <w:bookmarkEnd w:id="11"/>
    <w:bookmarkEnd w:id="12"/>
    <w:p>
      <w:pPr>
        <w:ind w:firstLine="422" w:firstLineChars="150"/>
        <w:jc w:val="center"/>
        <w:rPr>
          <w:b/>
          <w:sz w:val="28"/>
          <w:szCs w:val="28"/>
        </w:rPr>
      </w:pPr>
    </w:p>
    <w:bookmarkEnd w:id="8"/>
    <w:bookmarkEnd w:id="9"/>
    <w:bookmarkEnd w:id="10"/>
    <w:p>
      <w:pPr>
        <w:ind w:firstLine="422" w:firstLineChars="150"/>
        <w:jc w:val="center"/>
        <w:rPr>
          <w:b/>
          <w:sz w:val="28"/>
          <w:szCs w:val="28"/>
        </w:rPr>
      </w:pPr>
    </w:p>
    <w:p>
      <w:pPr>
        <w:ind w:firstLine="422" w:firstLineChars="150"/>
        <w:jc w:val="center"/>
        <w:rPr>
          <w:b/>
          <w:sz w:val="28"/>
          <w:szCs w:val="28"/>
        </w:rPr>
      </w:pPr>
    </w:p>
    <w:p>
      <w:pPr>
        <w:rPr>
          <w:sz w:val="28"/>
          <w:szCs w:val="28"/>
        </w:rPr>
      </w:pPr>
      <w:r>
        <w:rPr>
          <w:rFonts w:hint="eastAsia"/>
          <w:sz w:val="28"/>
          <w:szCs w:val="28"/>
        </w:rPr>
        <w:t>附件二</w:t>
      </w:r>
    </w:p>
    <w:p>
      <w:pPr>
        <w:pStyle w:val="9"/>
        <w:ind w:left="720" w:firstLine="562"/>
        <w:jc w:val="center"/>
        <w:rPr>
          <w:b/>
          <w:sz w:val="28"/>
          <w:szCs w:val="28"/>
        </w:rPr>
      </w:pPr>
      <w:r>
        <w:rPr>
          <w:rFonts w:hint="eastAsia"/>
          <w:b/>
          <w:sz w:val="28"/>
          <w:szCs w:val="28"/>
        </w:rPr>
        <w:t>投标函</w:t>
      </w:r>
    </w:p>
    <w:p>
      <w:pPr>
        <w:pStyle w:val="9"/>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bookmarkStart w:id="13" w:name="OLE_LINK25"/>
      <w:bookmarkStart w:id="14" w:name="OLE_LINK26"/>
      <w:bookmarkStart w:id="15" w:name="OLE_LINK32"/>
      <w:r>
        <w:rPr>
          <w:rFonts w:hint="eastAsia"/>
          <w:sz w:val="24"/>
          <w:szCs w:val="24"/>
        </w:rPr>
        <w:t>经研究，我方决定参加贵单位组织的项目（项目编号：）的投标。为此，我方郑重声明以下诸点，并负法律责任。</w:t>
      </w:r>
    </w:p>
    <w:bookmarkEnd w:id="13"/>
    <w:bookmarkEnd w:id="14"/>
    <w:bookmarkEnd w:id="15"/>
    <w:p>
      <w:pPr>
        <w:spacing w:line="360" w:lineRule="auto"/>
        <w:ind w:firstLine="480" w:firstLineChars="200"/>
        <w:rPr>
          <w:sz w:val="24"/>
          <w:szCs w:val="24"/>
        </w:rPr>
      </w:pPr>
      <w:r>
        <w:rPr>
          <w:rFonts w:hint="eastAsia"/>
          <w:sz w:val="24"/>
          <w:szCs w:val="24"/>
        </w:rPr>
        <w:t>1、我方提交的投标文件，正本一份，副本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2、如果我方的投标文件被接受，我方将履行招标文件中规定的每一项要求，并按我方投标文件中的承诺按期、保质、保量提供服务。</w:t>
      </w:r>
    </w:p>
    <w:p>
      <w:pPr>
        <w:spacing w:line="360" w:lineRule="auto"/>
        <w:ind w:firstLine="480" w:firstLineChars="200"/>
        <w:rPr>
          <w:sz w:val="24"/>
          <w:szCs w:val="24"/>
        </w:rPr>
      </w:pPr>
      <w:r>
        <w:rPr>
          <w:rFonts w:hint="eastAsia"/>
          <w:sz w:val="24"/>
          <w:szCs w:val="24"/>
        </w:rPr>
        <w:t>3、我方承诺：如中标，严格按照招标文件要求保质、保量完成本次服务工作，由此发生的一切费用由我方承担。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4、我方愿按《中华人民共和国合同法》履行自己的全部责任。</w:t>
      </w:r>
    </w:p>
    <w:p>
      <w:pPr>
        <w:spacing w:line="360" w:lineRule="auto"/>
        <w:ind w:firstLine="480" w:firstLineChars="200"/>
        <w:rPr>
          <w:sz w:val="24"/>
          <w:szCs w:val="24"/>
        </w:rPr>
      </w:pPr>
      <w:r>
        <w:rPr>
          <w:rFonts w:hint="eastAsia"/>
          <w:sz w:val="24"/>
          <w:szCs w:val="24"/>
        </w:rPr>
        <w:t>5、我方同意按招标文件规定交纳投标保证金、履约保证金、中标服务费、公证费，遵守贵单位有关招标的各项规定。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6、我方的投标文件自公开报价之日起有效期为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供应商代表姓名、职务（印刷体）：</w:t>
      </w:r>
    </w:p>
    <w:p>
      <w:pPr>
        <w:spacing w:line="360" w:lineRule="auto"/>
        <w:ind w:firstLine="360" w:firstLineChars="150"/>
        <w:rPr>
          <w:sz w:val="24"/>
          <w:szCs w:val="24"/>
        </w:rPr>
      </w:pPr>
      <w:r>
        <w:rPr>
          <w:rFonts w:hint="eastAsia"/>
          <w:sz w:val="24"/>
          <w:szCs w:val="24"/>
        </w:rPr>
        <w:t>供应商单位（公章）</w:t>
      </w:r>
    </w:p>
    <w:p>
      <w:pPr>
        <w:spacing w:line="360" w:lineRule="auto"/>
        <w:ind w:firstLine="360" w:firstLineChars="150"/>
        <w:rPr>
          <w:sz w:val="24"/>
          <w:szCs w:val="24"/>
        </w:rPr>
      </w:pPr>
      <w:r>
        <w:rPr>
          <w:rFonts w:hint="eastAsia"/>
          <w:sz w:val="24"/>
          <w:szCs w:val="24"/>
        </w:rPr>
        <w:t>法定代表人签字：</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pStyle w:val="9"/>
        <w:ind w:left="720" w:firstLine="480"/>
        <w:rPr>
          <w:sz w:val="24"/>
          <w:szCs w:val="24"/>
        </w:rPr>
      </w:pPr>
    </w:p>
    <w:p>
      <w:pPr>
        <w:pStyle w:val="9"/>
        <w:ind w:left="720" w:firstLine="480"/>
        <w:rPr>
          <w:sz w:val="24"/>
          <w:szCs w:val="24"/>
        </w:rPr>
      </w:pPr>
    </w:p>
    <w:p>
      <w:pPr>
        <w:pStyle w:val="9"/>
        <w:ind w:left="720" w:firstLine="480"/>
        <w:rPr>
          <w:sz w:val="24"/>
          <w:szCs w:val="24"/>
        </w:rPr>
      </w:pPr>
    </w:p>
    <w:p>
      <w:pPr>
        <w:pStyle w:val="9"/>
        <w:ind w:left="720" w:firstLine="480"/>
        <w:rPr>
          <w:sz w:val="24"/>
          <w:szCs w:val="24"/>
        </w:rPr>
      </w:pPr>
    </w:p>
    <w:p>
      <w:pPr>
        <w:pStyle w:val="9"/>
        <w:ind w:left="720" w:firstLine="480"/>
        <w:rPr>
          <w:sz w:val="24"/>
          <w:szCs w:val="24"/>
        </w:rPr>
      </w:pPr>
      <w:r>
        <w:rPr>
          <w:rFonts w:hint="eastAsia"/>
          <w:sz w:val="24"/>
          <w:szCs w:val="24"/>
        </w:rPr>
        <w:t>年月日</w:t>
      </w:r>
    </w:p>
    <w:p>
      <w:pPr>
        <w:pStyle w:val="9"/>
        <w:ind w:left="720" w:firstLine="560"/>
        <w:rPr>
          <w:sz w:val="28"/>
          <w:szCs w:val="28"/>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9"/>
        <w:ind w:left="720" w:firstLine="562"/>
        <w:jc w:val="center"/>
        <w:rPr>
          <w:b/>
          <w:sz w:val="28"/>
          <w:szCs w:val="28"/>
        </w:rPr>
      </w:pPr>
      <w:r>
        <w:rPr>
          <w:rFonts w:hint="eastAsia"/>
          <w:b/>
          <w:sz w:val="28"/>
          <w:szCs w:val="28"/>
        </w:rPr>
        <w:t>法定代表人授权委托书</w:t>
      </w:r>
    </w:p>
    <w:p>
      <w:pPr>
        <w:pStyle w:val="9"/>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9"/>
        <w:spacing w:line="360" w:lineRule="auto"/>
        <w:ind w:left="720" w:firstLine="480"/>
        <w:rPr>
          <w:sz w:val="24"/>
          <w:szCs w:val="24"/>
        </w:rPr>
      </w:pPr>
      <w:r>
        <w:rPr>
          <w:rFonts w:hint="eastAsia"/>
          <w:sz w:val="24"/>
          <w:szCs w:val="24"/>
        </w:rPr>
        <w:t>声明：我 __（姓名）系</w:t>
      </w:r>
      <w:r>
        <w:rPr>
          <w:rFonts w:hint="eastAsia"/>
          <w:sz w:val="24"/>
          <w:szCs w:val="24"/>
          <w:u w:val="single"/>
        </w:rPr>
        <w:t>（</w:t>
      </w:r>
      <w:r>
        <w:rPr>
          <w:rFonts w:hint="eastAsia"/>
          <w:sz w:val="24"/>
          <w:szCs w:val="24"/>
        </w:rPr>
        <w:t>投标单位名称）的法定代表人，现授权委托</w:t>
      </w:r>
      <w:r>
        <w:rPr>
          <w:rFonts w:hint="eastAsia"/>
          <w:sz w:val="24"/>
          <w:szCs w:val="24"/>
          <w:u w:val="single"/>
        </w:rPr>
        <w:t>（</w:t>
      </w:r>
      <w:r>
        <w:rPr>
          <w:rFonts w:hint="eastAsia"/>
          <w:sz w:val="24"/>
          <w:szCs w:val="24"/>
        </w:rPr>
        <w:t>姓名）为我公司代理人，代表我公司参加项目招标活动。代理人负责投标业务、销售业务和结算业务，所签署的一切文件和处理与之有关的一切事务，我均予承认。</w:t>
      </w:r>
    </w:p>
    <w:p>
      <w:pPr>
        <w:pStyle w:val="9"/>
        <w:spacing w:line="360" w:lineRule="auto"/>
        <w:ind w:left="720" w:firstLine="480"/>
        <w:rPr>
          <w:sz w:val="24"/>
          <w:szCs w:val="24"/>
        </w:rPr>
      </w:pPr>
    </w:p>
    <w:p>
      <w:pPr>
        <w:pStyle w:val="9"/>
        <w:spacing w:line="360" w:lineRule="auto"/>
        <w:ind w:left="720" w:firstLine="480"/>
        <w:rPr>
          <w:sz w:val="24"/>
          <w:szCs w:val="24"/>
        </w:rPr>
      </w:pPr>
      <w:r>
        <w:rPr>
          <w:rFonts w:hint="eastAsia"/>
          <w:sz w:val="24"/>
          <w:szCs w:val="24"/>
        </w:rPr>
        <w:t>代理人：性别：年龄：</w:t>
      </w:r>
    </w:p>
    <w:p>
      <w:pPr>
        <w:pStyle w:val="9"/>
        <w:spacing w:line="360" w:lineRule="auto"/>
        <w:ind w:left="720" w:firstLine="480"/>
        <w:rPr>
          <w:sz w:val="24"/>
          <w:szCs w:val="24"/>
        </w:rPr>
      </w:pPr>
      <w:r>
        <w:rPr>
          <w:rFonts w:hint="eastAsia"/>
          <w:sz w:val="24"/>
          <w:szCs w:val="24"/>
        </w:rPr>
        <w:t>单位：部门：职务：</w:t>
      </w:r>
    </w:p>
    <w:p>
      <w:pPr>
        <w:pStyle w:val="9"/>
        <w:spacing w:line="360" w:lineRule="auto"/>
        <w:ind w:left="720" w:firstLine="480"/>
        <w:rPr>
          <w:sz w:val="24"/>
          <w:szCs w:val="24"/>
        </w:rPr>
      </w:pPr>
      <w:r>
        <w:rPr>
          <w:rFonts w:hint="eastAsia"/>
          <w:sz w:val="24"/>
          <w:szCs w:val="24"/>
        </w:rPr>
        <w:t>代理人无转委托权。特此委托。</w:t>
      </w:r>
    </w:p>
    <w:p>
      <w:pPr>
        <w:pStyle w:val="9"/>
        <w:spacing w:line="360" w:lineRule="auto"/>
        <w:ind w:left="720" w:firstLine="480"/>
        <w:rPr>
          <w:sz w:val="24"/>
          <w:szCs w:val="24"/>
        </w:rPr>
      </w:pPr>
    </w:p>
    <w:p>
      <w:pPr>
        <w:pStyle w:val="9"/>
        <w:spacing w:line="360" w:lineRule="auto"/>
        <w:ind w:left="720" w:firstLine="480"/>
        <w:rPr>
          <w:sz w:val="24"/>
          <w:szCs w:val="24"/>
        </w:rPr>
      </w:pPr>
      <w:r>
        <w:rPr>
          <w:rFonts w:hint="eastAsia"/>
          <w:sz w:val="24"/>
          <w:szCs w:val="24"/>
        </w:rPr>
        <w:t>供应商名称：（盖章）</w:t>
      </w:r>
    </w:p>
    <w:p>
      <w:pPr>
        <w:pStyle w:val="9"/>
        <w:spacing w:line="360" w:lineRule="auto"/>
        <w:ind w:left="720" w:firstLine="480"/>
        <w:rPr>
          <w:sz w:val="24"/>
          <w:szCs w:val="24"/>
        </w:rPr>
      </w:pPr>
      <w:r>
        <w:rPr>
          <w:rFonts w:hint="eastAsia"/>
          <w:sz w:val="24"/>
          <w:szCs w:val="24"/>
        </w:rPr>
        <w:t>法定代表人签字：</w:t>
      </w:r>
    </w:p>
    <w:p>
      <w:pPr>
        <w:pStyle w:val="9"/>
        <w:spacing w:line="360" w:lineRule="auto"/>
        <w:ind w:left="720" w:firstLine="480"/>
        <w:rPr>
          <w:sz w:val="24"/>
          <w:szCs w:val="24"/>
        </w:rPr>
      </w:pPr>
    </w:p>
    <w:p>
      <w:pPr>
        <w:pStyle w:val="9"/>
        <w:spacing w:line="360" w:lineRule="auto"/>
        <w:ind w:left="720" w:firstLine="480"/>
        <w:rPr>
          <w:sz w:val="24"/>
          <w:szCs w:val="24"/>
        </w:rPr>
      </w:pPr>
    </w:p>
    <w:p>
      <w:pPr>
        <w:pStyle w:val="9"/>
        <w:spacing w:line="360" w:lineRule="auto"/>
        <w:ind w:left="720" w:firstLine="480"/>
        <w:rPr>
          <w:sz w:val="24"/>
          <w:szCs w:val="24"/>
        </w:rPr>
      </w:pPr>
    </w:p>
    <w:p>
      <w:pPr>
        <w:pStyle w:val="9"/>
        <w:spacing w:line="360" w:lineRule="auto"/>
        <w:ind w:left="720" w:firstLine="480"/>
        <w:rPr>
          <w:sz w:val="24"/>
          <w:szCs w:val="24"/>
        </w:rPr>
      </w:pPr>
    </w:p>
    <w:p>
      <w:pPr>
        <w:pStyle w:val="9"/>
        <w:ind w:left="720" w:firstLine="480"/>
        <w:rPr>
          <w:sz w:val="24"/>
          <w:szCs w:val="24"/>
        </w:rPr>
      </w:pPr>
    </w:p>
    <w:p>
      <w:pPr>
        <w:pStyle w:val="9"/>
        <w:ind w:left="720" w:right="120" w:firstLine="480"/>
        <w:jc w:val="right"/>
        <w:rPr>
          <w:sz w:val="24"/>
          <w:szCs w:val="24"/>
        </w:rPr>
      </w:pPr>
      <w:r>
        <w:rPr>
          <w:rFonts w:hint="eastAsia"/>
          <w:sz w:val="24"/>
          <w:szCs w:val="24"/>
        </w:rPr>
        <w:t>年月日</w:t>
      </w:r>
    </w:p>
    <w:p>
      <w:pPr>
        <w:pStyle w:val="9"/>
        <w:ind w:left="720" w:firstLine="480"/>
        <w:rPr>
          <w:sz w:val="24"/>
          <w:szCs w:val="24"/>
        </w:rPr>
      </w:pPr>
    </w:p>
    <w:p>
      <w:pPr>
        <w:pStyle w:val="9"/>
        <w:ind w:left="720" w:firstLine="480"/>
        <w:rPr>
          <w:sz w:val="24"/>
          <w:szCs w:val="24"/>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ind w:firstLine="420" w:firstLineChars="150"/>
        <w:jc w:val="left"/>
        <w:rPr>
          <w:sz w:val="28"/>
          <w:szCs w:val="28"/>
        </w:rPr>
      </w:pPr>
      <w:r>
        <w:rPr>
          <w:rFonts w:hint="eastAsia"/>
          <w:sz w:val="28"/>
          <w:szCs w:val="28"/>
        </w:rPr>
        <w:t>附件四</w:t>
      </w:r>
    </w:p>
    <w:p>
      <w:pPr>
        <w:pStyle w:val="9"/>
        <w:ind w:left="720" w:firstLine="562"/>
        <w:jc w:val="center"/>
        <w:rPr>
          <w:b/>
          <w:sz w:val="28"/>
          <w:szCs w:val="28"/>
        </w:rPr>
      </w:pPr>
      <w:r>
        <w:rPr>
          <w:rFonts w:hint="eastAsia"/>
          <w:b/>
          <w:sz w:val="28"/>
          <w:szCs w:val="28"/>
        </w:rPr>
        <w:t>报价一览表</w:t>
      </w:r>
    </w:p>
    <w:p>
      <w:pPr>
        <w:pStyle w:val="9"/>
        <w:spacing w:line="360" w:lineRule="auto"/>
        <w:ind w:left="720" w:firstLine="560"/>
        <w:rPr>
          <w:sz w:val="28"/>
          <w:szCs w:val="28"/>
          <w:highlight w:val="yellow"/>
        </w:rPr>
      </w:pPr>
    </w:p>
    <w:p>
      <w:pPr>
        <w:spacing w:line="360" w:lineRule="auto"/>
        <w:ind w:firstLine="360" w:firstLineChars="150"/>
        <w:rPr>
          <w:sz w:val="24"/>
          <w:szCs w:val="24"/>
        </w:rPr>
      </w:pPr>
      <w:bookmarkStart w:id="16" w:name="OLE_LINK54"/>
      <w:bookmarkStart w:id="17" w:name="OLE_LINK53"/>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bookmarkEnd w:id="16"/>
    <w:bookmarkEnd w:id="17"/>
    <w:tbl>
      <w:tblPr>
        <w:tblStyle w:val="6"/>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宋体" w:hAnsi="宋体"/>
                <w:color w:val="000000"/>
                <w:sz w:val="24"/>
                <w:szCs w:val="24"/>
              </w:rPr>
            </w:pPr>
            <w:r>
              <w:rPr>
                <w:rFonts w:hint="eastAsia" w:ascii="宋体" w:hAnsi="宋体"/>
                <w:color w:val="000000"/>
                <w:sz w:val="24"/>
                <w:szCs w:val="24"/>
              </w:rPr>
              <w:t>项目名称</w:t>
            </w:r>
          </w:p>
        </w:tc>
        <w:tc>
          <w:tcPr>
            <w:tcW w:w="3543"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总报价（元）</w:t>
            </w:r>
          </w:p>
        </w:tc>
        <w:tc>
          <w:tcPr>
            <w:tcW w:w="1834"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总报价</w:t>
            </w:r>
          </w:p>
        </w:tc>
        <w:tc>
          <w:tcPr>
            <w:tcW w:w="3543" w:type="dxa"/>
            <w:vAlign w:val="center"/>
          </w:tcPr>
          <w:p>
            <w:pPr>
              <w:tabs>
                <w:tab w:val="left" w:pos="1337"/>
              </w:tabs>
              <w:rPr>
                <w:rFonts w:ascii="宋体" w:hAnsi="宋体"/>
                <w:color w:val="000000"/>
                <w:sz w:val="24"/>
                <w:szCs w:val="24"/>
              </w:rPr>
            </w:pPr>
            <w:r>
              <w:rPr>
                <w:rFonts w:hint="eastAsia" w:ascii="宋体" w:hAnsi="宋体"/>
                <w:color w:val="000000"/>
                <w:sz w:val="24"/>
                <w:szCs w:val="24"/>
              </w:rPr>
              <w:t>大写：</w:t>
            </w:r>
          </w:p>
          <w:p>
            <w:pPr>
              <w:tabs>
                <w:tab w:val="left" w:pos="1337"/>
              </w:tabs>
              <w:rPr>
                <w:rFonts w:ascii="宋体" w:hAnsi="宋体"/>
                <w:color w:val="000000"/>
                <w:sz w:val="24"/>
                <w:szCs w:val="24"/>
              </w:rPr>
            </w:pPr>
            <w:r>
              <w:rPr>
                <w:rFonts w:hint="eastAsia" w:ascii="宋体" w:hAnsi="宋体"/>
                <w:color w:val="000000"/>
                <w:sz w:val="24"/>
                <w:szCs w:val="24"/>
              </w:rPr>
              <w:t>小写：</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实施周期</w:t>
            </w:r>
          </w:p>
        </w:tc>
        <w:tc>
          <w:tcPr>
            <w:tcW w:w="3543" w:type="dxa"/>
            <w:vAlign w:val="center"/>
          </w:tcPr>
          <w:p>
            <w:pPr>
              <w:tabs>
                <w:tab w:val="left" w:pos="1337"/>
              </w:tabs>
              <w:ind w:firstLine="2280" w:firstLineChars="950"/>
              <w:rPr>
                <w:rFonts w:ascii="宋体" w:hAnsi="宋体"/>
                <w:color w:val="000000"/>
                <w:sz w:val="24"/>
                <w:szCs w:val="24"/>
              </w:rPr>
            </w:pPr>
            <w:r>
              <w:rPr>
                <w:rFonts w:hint="eastAsia" w:ascii="宋体" w:hAnsi="宋体"/>
                <w:color w:val="000000"/>
                <w:sz w:val="24"/>
                <w:szCs w:val="24"/>
              </w:rPr>
              <w:t>日历日</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质保期</w:t>
            </w:r>
          </w:p>
        </w:tc>
        <w:tc>
          <w:tcPr>
            <w:tcW w:w="3543" w:type="dxa"/>
            <w:vAlign w:val="center"/>
          </w:tcPr>
          <w:p>
            <w:pPr>
              <w:tabs>
                <w:tab w:val="left" w:pos="1337"/>
              </w:tabs>
              <w:rPr>
                <w:rFonts w:ascii="宋体" w:hAnsi="宋体"/>
                <w:color w:val="000000"/>
                <w:sz w:val="24"/>
                <w:szCs w:val="24"/>
              </w:rPr>
            </w:pPr>
            <w:r>
              <w:rPr>
                <w:rFonts w:hint="eastAsia" w:ascii="宋体" w:hAnsi="宋体"/>
                <w:color w:val="000000"/>
                <w:sz w:val="24"/>
                <w:szCs w:val="24"/>
              </w:rPr>
              <w:t xml:space="preserve">               年 </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对竞争性磋商文件的</w:t>
            </w:r>
          </w:p>
          <w:p>
            <w:pPr>
              <w:tabs>
                <w:tab w:val="left" w:pos="1337"/>
              </w:tabs>
              <w:jc w:val="center"/>
              <w:rPr>
                <w:rFonts w:ascii="宋体" w:hAnsi="宋体"/>
                <w:color w:val="000000"/>
                <w:sz w:val="24"/>
                <w:szCs w:val="24"/>
              </w:rPr>
            </w:pPr>
            <w:r>
              <w:rPr>
                <w:rFonts w:hint="eastAsia" w:ascii="宋体" w:hAnsi="宋体"/>
                <w:color w:val="000000"/>
                <w:sz w:val="24"/>
                <w:szCs w:val="24"/>
              </w:rPr>
              <w:t>认同程度</w:t>
            </w:r>
          </w:p>
        </w:tc>
        <w:tc>
          <w:tcPr>
            <w:tcW w:w="3543" w:type="dxa"/>
            <w:vAlign w:val="center"/>
          </w:tcPr>
          <w:p>
            <w:pPr>
              <w:tabs>
                <w:tab w:val="left" w:pos="1337"/>
              </w:tabs>
              <w:rPr>
                <w:rFonts w:ascii="宋体" w:hAnsi="宋体"/>
                <w:color w:val="000000"/>
                <w:sz w:val="24"/>
                <w:szCs w:val="24"/>
              </w:rPr>
            </w:pPr>
          </w:p>
        </w:tc>
        <w:tc>
          <w:tcPr>
            <w:tcW w:w="1834" w:type="dxa"/>
            <w:vAlign w:val="center"/>
          </w:tcPr>
          <w:p>
            <w:pPr>
              <w:tabs>
                <w:tab w:val="left" w:pos="1337"/>
              </w:tabs>
              <w:rPr>
                <w:rFonts w:ascii="宋体" w:hAnsi="宋体"/>
                <w:color w:val="000000"/>
                <w:sz w:val="24"/>
                <w:szCs w:val="24"/>
              </w:rPr>
            </w:pPr>
          </w:p>
        </w:tc>
      </w:tr>
    </w:tbl>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法定代表人或授权代理人签字：</w:t>
      </w:r>
    </w:p>
    <w:p>
      <w:pPr>
        <w:spacing w:line="360" w:lineRule="auto"/>
        <w:ind w:firstLine="360" w:firstLineChars="150"/>
        <w:rPr>
          <w:sz w:val="24"/>
          <w:szCs w:val="24"/>
        </w:rPr>
      </w:pPr>
    </w:p>
    <w:p>
      <w:pPr>
        <w:spacing w:line="360" w:lineRule="auto"/>
        <w:ind w:firstLine="5880" w:firstLineChars="2450"/>
        <w:rPr>
          <w:sz w:val="24"/>
          <w:szCs w:val="24"/>
        </w:rPr>
      </w:pPr>
      <w:r>
        <w:rPr>
          <w:rFonts w:hint="eastAsia"/>
          <w:sz w:val="24"/>
          <w:szCs w:val="24"/>
        </w:rPr>
        <w:t>年月日</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pStyle w:val="2"/>
        <w:spacing w:before="0" w:after="0"/>
        <w:rPr>
          <w:rFonts w:ascii="宋体" w:hAnsi="宋体" w:eastAsia="宋体"/>
          <w:sz w:val="28"/>
          <w:szCs w:val="28"/>
        </w:rPr>
      </w:pPr>
      <w:r>
        <w:rPr>
          <w:rFonts w:hint="eastAsia" w:ascii="宋体" w:hAnsi="宋体" w:eastAsia="宋体" w:cs="Times New Roman"/>
          <w:color w:val="000000"/>
          <w:sz w:val="28"/>
          <w:szCs w:val="28"/>
        </w:rPr>
        <w:t>附件五</w:t>
      </w:r>
    </w:p>
    <w:p>
      <w:pPr>
        <w:pStyle w:val="3"/>
        <w:spacing w:after="0"/>
        <w:jc w:val="center"/>
        <w:outlineLvl w:val="0"/>
        <w:rPr>
          <w:rFonts w:ascii="宋体" w:hAnsi="宋体"/>
          <w:b/>
          <w:color w:val="000000"/>
          <w:sz w:val="32"/>
          <w:szCs w:val="32"/>
        </w:rPr>
      </w:pPr>
      <w:r>
        <w:rPr>
          <w:rFonts w:hint="eastAsia" w:ascii="宋体" w:hAnsi="宋体"/>
          <w:b/>
          <w:color w:val="000000"/>
          <w:sz w:val="32"/>
          <w:szCs w:val="32"/>
        </w:rPr>
        <w:t>技术偏离表</w:t>
      </w:r>
    </w:p>
    <w:p>
      <w:pPr>
        <w:spacing w:line="360" w:lineRule="auto"/>
        <w:ind w:firstLine="360" w:firstLineChars="150"/>
        <w:rPr>
          <w:sz w:val="24"/>
          <w:szCs w:val="24"/>
        </w:rPr>
      </w:pPr>
      <w:bookmarkStart w:id="18" w:name="OLE_LINK57"/>
      <w:bookmarkStart w:id="19" w:name="OLE_LINK56"/>
      <w:bookmarkStart w:id="20" w:name="OLE_LINK58"/>
      <w:bookmarkStart w:id="21" w:name="OLE_LINK55"/>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tbl>
      <w:tblPr>
        <w:tblStyle w:val="6"/>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宋体" w:hAnsi="宋体"/>
                <w:color w:val="000000"/>
                <w:sz w:val="24"/>
              </w:rPr>
            </w:pPr>
            <w:bookmarkStart w:id="22" w:name="OLE_LINK42"/>
            <w:bookmarkStart w:id="23" w:name="OLE_LINK43"/>
            <w:r>
              <w:rPr>
                <w:rFonts w:hint="eastAsia" w:ascii="宋体" w:hAnsi="宋体"/>
                <w:color w:val="000000"/>
                <w:sz w:val="24"/>
              </w:rPr>
              <w:t>序号</w:t>
            </w:r>
          </w:p>
        </w:tc>
        <w:tc>
          <w:tcPr>
            <w:tcW w:w="2283" w:type="dxa"/>
            <w:vAlign w:val="center"/>
          </w:tcPr>
          <w:p>
            <w:pPr>
              <w:tabs>
                <w:tab w:val="left" w:pos="1337"/>
              </w:tabs>
              <w:jc w:val="center"/>
              <w:rPr>
                <w:rFonts w:ascii="宋体" w:hAnsi="宋体"/>
                <w:color w:val="000000"/>
                <w:sz w:val="24"/>
              </w:rPr>
            </w:pPr>
            <w:r>
              <w:rPr>
                <w:rFonts w:hint="eastAsia" w:ascii="宋体" w:hAnsi="宋体"/>
                <w:color w:val="000000"/>
                <w:sz w:val="24"/>
              </w:rPr>
              <w:t>磋商文件内容</w:t>
            </w:r>
          </w:p>
        </w:tc>
        <w:tc>
          <w:tcPr>
            <w:tcW w:w="1686" w:type="dxa"/>
            <w:vAlign w:val="center"/>
          </w:tcPr>
          <w:p>
            <w:pPr>
              <w:tabs>
                <w:tab w:val="left" w:pos="1337"/>
              </w:tabs>
              <w:rPr>
                <w:rFonts w:ascii="宋体" w:hAnsi="宋体"/>
                <w:color w:val="000000"/>
                <w:sz w:val="24"/>
              </w:rPr>
            </w:pPr>
            <w:r>
              <w:rPr>
                <w:rFonts w:hint="eastAsia" w:ascii="宋体" w:hAnsi="宋体"/>
                <w:color w:val="000000"/>
                <w:sz w:val="24"/>
              </w:rPr>
              <w:t>响应文件内容</w:t>
            </w:r>
          </w:p>
        </w:tc>
        <w:tc>
          <w:tcPr>
            <w:tcW w:w="1578" w:type="dxa"/>
            <w:vAlign w:val="center"/>
          </w:tcPr>
          <w:p>
            <w:pPr>
              <w:tabs>
                <w:tab w:val="left" w:pos="1337"/>
              </w:tabs>
              <w:jc w:val="center"/>
              <w:rPr>
                <w:rFonts w:ascii="宋体" w:hAnsi="宋体"/>
                <w:color w:val="000000"/>
                <w:sz w:val="24"/>
              </w:rPr>
            </w:pPr>
            <w:r>
              <w:rPr>
                <w:rFonts w:hint="eastAsia" w:ascii="宋体" w:hAnsi="宋体"/>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bookmarkEnd w:id="18"/>
      <w:bookmarkEnd w:id="19"/>
      <w:bookmarkEnd w:id="20"/>
      <w:bookmarkEnd w:id="21"/>
      <w:bookmarkEnd w:id="22"/>
      <w:bookmarkEnd w:id="23"/>
    </w:tbl>
    <w:p>
      <w:pPr>
        <w:pStyle w:val="4"/>
        <w:spacing w:before="156" w:beforeLines="50"/>
        <w:ind w:left="0" w:leftChars="0"/>
        <w:rPr>
          <w:rFonts w:ascii="宋体" w:hAnsi="宋体"/>
          <w:b/>
          <w:color w:val="000000"/>
          <w:sz w:val="24"/>
          <w:szCs w:val="24"/>
        </w:rPr>
      </w:pPr>
      <w:r>
        <w:rPr>
          <w:rFonts w:hint="eastAsia" w:ascii="宋体" w:hAnsi="宋体"/>
          <w:b/>
          <w:color w:val="000000"/>
          <w:sz w:val="24"/>
          <w:szCs w:val="24"/>
        </w:rPr>
        <w:t>注：技术偏离需按照标书技术文件规定逐项列明，无偏离的写明“无”</w:t>
      </w:r>
    </w:p>
    <w:p>
      <w:pPr>
        <w:pStyle w:val="4"/>
        <w:spacing w:before="156" w:beforeLines="50"/>
        <w:ind w:left="0" w:leftChars="0"/>
        <w:rPr>
          <w:rFonts w:ascii="宋体" w:hAnsi="宋体"/>
          <w:color w:val="000000"/>
          <w:sz w:val="24"/>
          <w:szCs w:val="24"/>
        </w:rPr>
      </w:pPr>
      <w:r>
        <w:rPr>
          <w:rFonts w:hint="eastAsia" w:ascii="宋体" w:hAnsi="宋体"/>
          <w:color w:val="000000"/>
          <w:sz w:val="24"/>
          <w:szCs w:val="24"/>
        </w:rPr>
        <w:t xml:space="preserve">供应商名称：（公章）                   </w:t>
      </w:r>
    </w:p>
    <w:p>
      <w:pPr>
        <w:rPr>
          <w:rFonts w:ascii="宋体" w:hAnsi="宋体"/>
          <w:color w:val="000000"/>
          <w:sz w:val="24"/>
        </w:rPr>
      </w:pPr>
      <w:r>
        <w:rPr>
          <w:rFonts w:hint="eastAsia" w:ascii="宋体" w:hAnsi="宋体"/>
          <w:color w:val="000000"/>
          <w:sz w:val="24"/>
          <w:szCs w:val="24"/>
        </w:rPr>
        <w:t xml:space="preserve">法定代表人或授权代理人签字：            </w:t>
      </w:r>
    </w:p>
    <w:p>
      <w:pPr>
        <w:pStyle w:val="2"/>
        <w:spacing w:before="0" w:after="0"/>
        <w:ind w:right="120"/>
        <w:jc w:val="right"/>
        <w:rPr>
          <w:rFonts w:ascii="宋体" w:hAnsi="宋体" w:eastAsia="宋体"/>
          <w:color w:val="000000"/>
          <w:sz w:val="24"/>
        </w:rPr>
      </w:pPr>
      <w:r>
        <w:rPr>
          <w:rFonts w:hint="eastAsia" w:ascii="宋体" w:hAnsi="宋体" w:eastAsia="宋体" w:cs="Times New Roman"/>
          <w:color w:val="000000"/>
          <w:sz w:val="24"/>
          <w:szCs w:val="24"/>
        </w:rPr>
        <w:t>年  月  日</w:t>
      </w:r>
    </w:p>
    <w:p>
      <w:pPr>
        <w:pStyle w:val="2"/>
        <w:spacing w:before="0" w:after="0"/>
        <w:rPr>
          <w:rFonts w:ascii="宋体" w:hAnsi="宋体" w:eastAsia="宋体" w:cs="Times New Roman"/>
          <w:color w:val="000000"/>
          <w:sz w:val="24"/>
          <w:szCs w:val="24"/>
        </w:rPr>
      </w:pPr>
    </w:p>
    <w:p/>
    <w:p/>
    <w:p/>
    <w:p/>
    <w:p/>
    <w:p/>
    <w:p>
      <w:pPr>
        <w:pStyle w:val="2"/>
        <w:spacing w:before="0" w:after="0"/>
        <w:rPr>
          <w:rFonts w:ascii="宋体" w:hAnsi="宋体" w:eastAsia="宋体"/>
          <w:sz w:val="28"/>
          <w:szCs w:val="28"/>
        </w:rPr>
      </w:pPr>
      <w:r>
        <w:rPr>
          <w:rFonts w:hint="eastAsia" w:ascii="宋体" w:hAnsi="宋体" w:eastAsia="宋体" w:cs="Times New Roman"/>
          <w:color w:val="000000"/>
          <w:sz w:val="28"/>
          <w:szCs w:val="28"/>
        </w:rPr>
        <w:t>附件六</w:t>
      </w:r>
    </w:p>
    <w:p>
      <w:pPr>
        <w:pStyle w:val="2"/>
        <w:spacing w:before="0" w:after="0"/>
        <w:jc w:val="center"/>
        <w:rPr>
          <w:rFonts w:ascii="宋体" w:hAnsi="宋体" w:eastAsia="宋体"/>
          <w:color w:val="000000"/>
        </w:rPr>
      </w:pPr>
      <w:r>
        <w:rPr>
          <w:rFonts w:hint="eastAsia" w:ascii="宋体" w:hAnsi="宋体" w:eastAsia="宋体" w:cs="Times New Roman"/>
          <w:b/>
          <w:color w:val="000000"/>
          <w:sz w:val="32"/>
          <w:szCs w:val="32"/>
        </w:rPr>
        <w:t>商务偏离表</w:t>
      </w:r>
    </w:p>
    <w:p>
      <w:pPr>
        <w:spacing w:line="360" w:lineRule="auto"/>
        <w:ind w:firstLine="360" w:firstLineChars="150"/>
        <w:rPr>
          <w:sz w:val="24"/>
          <w:szCs w:val="24"/>
        </w:rPr>
      </w:pPr>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tbl>
      <w:tblPr>
        <w:tblStyle w:val="6"/>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宋体" w:hAnsi="宋体"/>
                <w:color w:val="000000"/>
                <w:sz w:val="24"/>
              </w:rPr>
            </w:pPr>
            <w:r>
              <w:rPr>
                <w:rFonts w:hint="eastAsia" w:ascii="宋体" w:hAnsi="宋体"/>
                <w:color w:val="000000"/>
                <w:sz w:val="24"/>
              </w:rPr>
              <w:t>序号</w:t>
            </w:r>
          </w:p>
        </w:tc>
        <w:tc>
          <w:tcPr>
            <w:tcW w:w="2283" w:type="dxa"/>
            <w:vAlign w:val="center"/>
          </w:tcPr>
          <w:p>
            <w:pPr>
              <w:tabs>
                <w:tab w:val="left" w:pos="1337"/>
              </w:tabs>
              <w:jc w:val="center"/>
              <w:rPr>
                <w:rFonts w:ascii="宋体" w:hAnsi="宋体"/>
                <w:color w:val="000000"/>
                <w:sz w:val="24"/>
              </w:rPr>
            </w:pPr>
            <w:r>
              <w:rPr>
                <w:rFonts w:hint="eastAsia" w:ascii="宋体" w:hAnsi="宋体"/>
                <w:color w:val="000000"/>
                <w:sz w:val="24"/>
              </w:rPr>
              <w:t>磋商文件内容</w:t>
            </w:r>
          </w:p>
        </w:tc>
        <w:tc>
          <w:tcPr>
            <w:tcW w:w="1686" w:type="dxa"/>
            <w:vAlign w:val="center"/>
          </w:tcPr>
          <w:p>
            <w:pPr>
              <w:tabs>
                <w:tab w:val="left" w:pos="1337"/>
              </w:tabs>
              <w:rPr>
                <w:rFonts w:ascii="宋体" w:hAnsi="宋体"/>
                <w:color w:val="000000"/>
                <w:sz w:val="24"/>
              </w:rPr>
            </w:pPr>
            <w:r>
              <w:rPr>
                <w:rFonts w:hint="eastAsia" w:ascii="宋体" w:hAnsi="宋体"/>
                <w:color w:val="000000"/>
                <w:sz w:val="24"/>
              </w:rPr>
              <w:t>响应文件内容</w:t>
            </w:r>
          </w:p>
        </w:tc>
        <w:tc>
          <w:tcPr>
            <w:tcW w:w="1578" w:type="dxa"/>
            <w:vAlign w:val="center"/>
          </w:tcPr>
          <w:p>
            <w:pPr>
              <w:tabs>
                <w:tab w:val="left" w:pos="1337"/>
              </w:tabs>
              <w:jc w:val="center"/>
              <w:rPr>
                <w:rFonts w:ascii="宋体" w:hAnsi="宋体"/>
                <w:color w:val="000000"/>
                <w:sz w:val="24"/>
              </w:rPr>
            </w:pPr>
            <w:r>
              <w:rPr>
                <w:rFonts w:hint="eastAsia" w:ascii="宋体" w:hAnsi="宋体"/>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bl>
    <w:p>
      <w:pPr>
        <w:pStyle w:val="4"/>
        <w:spacing w:before="156" w:beforeLines="50"/>
        <w:ind w:left="0" w:leftChars="0"/>
        <w:rPr>
          <w:rFonts w:ascii="宋体" w:hAnsi="宋体"/>
          <w:b/>
          <w:color w:val="000000"/>
          <w:sz w:val="24"/>
          <w:szCs w:val="24"/>
        </w:rPr>
      </w:pPr>
      <w:r>
        <w:rPr>
          <w:rFonts w:hint="eastAsia" w:ascii="宋体" w:hAnsi="宋体"/>
          <w:b/>
          <w:color w:val="000000"/>
          <w:sz w:val="24"/>
          <w:szCs w:val="24"/>
        </w:rPr>
        <w:t>注：商务偏离需按照标书商务条款规定逐项列明，无偏离的写明“无”</w:t>
      </w:r>
    </w:p>
    <w:p/>
    <w:p>
      <w:pPr>
        <w:pStyle w:val="4"/>
        <w:spacing w:before="156" w:beforeLines="50"/>
        <w:ind w:left="0" w:leftChars="0"/>
        <w:rPr>
          <w:rFonts w:ascii="宋体" w:hAnsi="宋体"/>
          <w:color w:val="000000"/>
          <w:sz w:val="24"/>
          <w:szCs w:val="24"/>
        </w:rPr>
      </w:pPr>
      <w:r>
        <w:rPr>
          <w:rFonts w:hint="eastAsia" w:ascii="宋体" w:hAnsi="宋体"/>
          <w:color w:val="000000"/>
          <w:sz w:val="24"/>
          <w:szCs w:val="24"/>
        </w:rPr>
        <w:t xml:space="preserve">供应商名称：（公章）                   </w:t>
      </w:r>
    </w:p>
    <w:p>
      <w:pPr>
        <w:rPr>
          <w:rFonts w:ascii="宋体" w:hAnsi="宋体"/>
          <w:color w:val="000000"/>
          <w:sz w:val="24"/>
          <w:szCs w:val="24"/>
        </w:rPr>
      </w:pPr>
      <w:r>
        <w:rPr>
          <w:rFonts w:hint="eastAsia" w:ascii="宋体" w:hAnsi="宋体"/>
          <w:color w:val="000000"/>
          <w:sz w:val="24"/>
          <w:szCs w:val="24"/>
        </w:rPr>
        <w:t xml:space="preserve">法定代表人或授权代理人签字：            </w:t>
      </w: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rPr>
      </w:pPr>
    </w:p>
    <w:p>
      <w:pPr>
        <w:pStyle w:val="2"/>
        <w:spacing w:before="0" w:after="0"/>
        <w:ind w:right="120"/>
        <w:jc w:val="right"/>
        <w:rPr>
          <w:rFonts w:ascii="宋体" w:hAnsi="宋体" w:eastAsia="宋体"/>
          <w:color w:val="000000"/>
          <w:sz w:val="24"/>
        </w:rPr>
      </w:pPr>
      <w:r>
        <w:rPr>
          <w:rFonts w:hint="eastAsia" w:ascii="宋体" w:hAnsi="宋体" w:eastAsia="宋体" w:cs="Times New Roman"/>
          <w:color w:val="000000"/>
          <w:sz w:val="24"/>
          <w:szCs w:val="24"/>
        </w:rPr>
        <w:t>年  月  日</w:t>
      </w:r>
    </w:p>
    <w:p>
      <w:pPr>
        <w:pStyle w:val="2"/>
        <w:spacing w:before="0" w:after="0"/>
        <w:rPr>
          <w:rFonts w:ascii="宋体" w:hAnsi="宋体" w:eastAsia="宋体" w:cs="Times New Roman"/>
          <w:color w:val="000000"/>
          <w:sz w:val="24"/>
          <w:szCs w:val="24"/>
        </w:rPr>
      </w:pPr>
    </w:p>
    <w:p/>
    <w:p/>
    <w:p/>
    <w:p>
      <w:pPr>
        <w:ind w:firstLine="420" w:firstLineChars="150"/>
        <w:jc w:val="left"/>
        <w:rPr>
          <w:sz w:val="28"/>
          <w:szCs w:val="28"/>
        </w:rPr>
      </w:pPr>
      <w:r>
        <w:rPr>
          <w:rFonts w:hint="eastAsia"/>
          <w:sz w:val="28"/>
          <w:szCs w:val="28"/>
        </w:rPr>
        <w:t>附件七</w:t>
      </w:r>
    </w:p>
    <w:p>
      <w:pPr>
        <w:pStyle w:val="9"/>
        <w:ind w:left="720" w:firstLine="562"/>
        <w:jc w:val="center"/>
        <w:rPr>
          <w:b/>
          <w:sz w:val="28"/>
          <w:szCs w:val="28"/>
        </w:rPr>
      </w:pPr>
      <w:r>
        <w:rPr>
          <w:rFonts w:hint="eastAsia"/>
          <w:b/>
          <w:sz w:val="28"/>
          <w:szCs w:val="28"/>
        </w:rPr>
        <w:t>近三年同类业绩一览表</w:t>
      </w:r>
    </w:p>
    <w:p>
      <w:pPr>
        <w:pStyle w:val="9"/>
        <w:ind w:left="720" w:firstLine="562"/>
        <w:jc w:val="center"/>
        <w:rPr>
          <w:b/>
          <w:sz w:val="28"/>
          <w:szCs w:val="28"/>
        </w:rPr>
      </w:pPr>
      <w:r>
        <w:rPr>
          <w:rFonts w:hint="eastAsia"/>
          <w:b/>
          <w:sz w:val="28"/>
          <w:szCs w:val="28"/>
        </w:rPr>
        <w:t>（201</w:t>
      </w:r>
      <w:r>
        <w:rPr>
          <w:rFonts w:hint="eastAsia"/>
          <w:b/>
          <w:sz w:val="28"/>
          <w:szCs w:val="28"/>
          <w:lang w:val="en-US" w:eastAsia="zh-CN"/>
        </w:rPr>
        <w:t>8</w:t>
      </w:r>
      <w:r>
        <w:rPr>
          <w:rFonts w:hint="eastAsia"/>
          <w:b/>
          <w:sz w:val="28"/>
          <w:szCs w:val="28"/>
        </w:rPr>
        <w:t>年</w:t>
      </w:r>
      <w:r>
        <w:rPr>
          <w:rFonts w:hint="eastAsia"/>
          <w:b/>
          <w:sz w:val="28"/>
          <w:szCs w:val="28"/>
          <w:lang w:val="en-US" w:eastAsia="zh-CN"/>
        </w:rPr>
        <w:t>4</w:t>
      </w:r>
      <w:r>
        <w:rPr>
          <w:rFonts w:hint="eastAsia"/>
          <w:b/>
          <w:sz w:val="28"/>
          <w:szCs w:val="28"/>
        </w:rPr>
        <w:t>月1日至今）</w:t>
      </w:r>
    </w:p>
    <w:tbl>
      <w:tblPr>
        <w:tblStyle w:val="7"/>
        <w:tblW w:w="88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31"/>
        <w:gridCol w:w="2102"/>
        <w:gridCol w:w="1919"/>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sz w:val="28"/>
                <w:szCs w:val="28"/>
              </w:rPr>
            </w:pPr>
            <w:r>
              <w:rPr>
                <w:rFonts w:hint="eastAsia"/>
                <w:sz w:val="28"/>
                <w:szCs w:val="28"/>
              </w:rPr>
              <w:t>序号</w:t>
            </w:r>
          </w:p>
        </w:tc>
        <w:tc>
          <w:tcPr>
            <w:tcW w:w="1731" w:type="dxa"/>
          </w:tcPr>
          <w:p>
            <w:pPr>
              <w:jc w:val="center"/>
              <w:rPr>
                <w:sz w:val="28"/>
                <w:szCs w:val="28"/>
              </w:rPr>
            </w:pPr>
            <w:r>
              <w:rPr>
                <w:rFonts w:hint="eastAsia"/>
                <w:sz w:val="28"/>
                <w:szCs w:val="28"/>
              </w:rPr>
              <w:t>项目内容</w:t>
            </w:r>
          </w:p>
        </w:tc>
        <w:tc>
          <w:tcPr>
            <w:tcW w:w="2102" w:type="dxa"/>
          </w:tcPr>
          <w:p>
            <w:pPr>
              <w:jc w:val="center"/>
              <w:rPr>
                <w:sz w:val="28"/>
                <w:szCs w:val="28"/>
              </w:rPr>
            </w:pPr>
            <w:r>
              <w:rPr>
                <w:rFonts w:hint="eastAsia"/>
                <w:sz w:val="28"/>
                <w:szCs w:val="28"/>
              </w:rPr>
              <w:t>合同签订时间</w:t>
            </w:r>
          </w:p>
        </w:tc>
        <w:tc>
          <w:tcPr>
            <w:tcW w:w="1919" w:type="dxa"/>
          </w:tcPr>
          <w:p>
            <w:pPr>
              <w:jc w:val="center"/>
              <w:rPr>
                <w:sz w:val="28"/>
                <w:szCs w:val="28"/>
              </w:rPr>
            </w:pPr>
            <w:r>
              <w:rPr>
                <w:rFonts w:hint="eastAsia"/>
                <w:sz w:val="28"/>
                <w:szCs w:val="28"/>
              </w:rPr>
              <w:t>完工时间</w:t>
            </w:r>
          </w:p>
        </w:tc>
        <w:tc>
          <w:tcPr>
            <w:tcW w:w="2248" w:type="dxa"/>
          </w:tcPr>
          <w:p>
            <w:pPr>
              <w:jc w:val="center"/>
              <w:rPr>
                <w:sz w:val="28"/>
                <w:szCs w:val="28"/>
              </w:rPr>
            </w:pPr>
            <w:r>
              <w:rPr>
                <w:rFonts w:hint="eastAsia"/>
                <w:sz w:val="28"/>
                <w:szCs w:val="28"/>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bl>
    <w:p>
      <w:pPr>
        <w:spacing w:line="353" w:lineRule="exact"/>
        <w:ind w:firstLine="240"/>
        <w:rPr>
          <w:rFonts w:ascii="宋体" w:hAnsi="宋体" w:eastAsia="宋体"/>
          <w:b/>
          <w:sz w:val="24"/>
        </w:rPr>
      </w:pPr>
      <w:r>
        <w:rPr>
          <w:rFonts w:ascii="宋体" w:hAnsi="宋体" w:eastAsia="宋体"/>
          <w:b/>
          <w:sz w:val="24"/>
        </w:rPr>
        <w:t>注：近</w:t>
      </w:r>
      <w:r>
        <w:rPr>
          <w:rFonts w:hint="eastAsia" w:ascii="宋体" w:hAnsi="宋体" w:eastAsia="宋体"/>
          <w:b/>
          <w:sz w:val="24"/>
        </w:rPr>
        <w:t>三</w:t>
      </w:r>
      <w:r>
        <w:rPr>
          <w:rFonts w:ascii="宋体" w:hAnsi="宋体" w:eastAsia="宋体"/>
          <w:b/>
          <w:sz w:val="24"/>
        </w:rPr>
        <w:t>年</w:t>
      </w:r>
      <w:r>
        <w:rPr>
          <w:rFonts w:hint="eastAsia" w:ascii="宋体" w:hAnsi="宋体" w:eastAsia="宋体"/>
          <w:b/>
          <w:sz w:val="24"/>
        </w:rPr>
        <w:t>类似项目业绩，需提供合同复印件（正文部分不得覆盖），</w:t>
      </w:r>
      <w:r>
        <w:rPr>
          <w:rFonts w:hint="eastAsia" w:ascii="宋体" w:hAnsi="宋体" w:eastAsia="宋体"/>
          <w:b/>
          <w:color w:val="FF0000"/>
          <w:sz w:val="24"/>
        </w:rPr>
        <w:t>开标时提交原件备查</w:t>
      </w:r>
      <w:r>
        <w:rPr>
          <w:rFonts w:hint="eastAsia" w:ascii="宋体" w:hAnsi="宋体" w:eastAsia="宋体"/>
          <w:b/>
          <w:color w:val="FF0000"/>
          <w:sz w:val="24"/>
          <w:lang w:eastAsia="zh-CN"/>
        </w:rPr>
        <w:t>（</w:t>
      </w:r>
      <w:r>
        <w:rPr>
          <w:rFonts w:hint="eastAsia" w:ascii="宋体" w:hAnsi="宋体" w:eastAsia="宋体"/>
          <w:b/>
          <w:color w:val="FF0000"/>
          <w:sz w:val="24"/>
          <w:lang w:val="en-US" w:eastAsia="zh-CN"/>
        </w:rPr>
        <w:t>中标通知书、合同、验收报告三者缺一不可</w:t>
      </w:r>
      <w:r>
        <w:rPr>
          <w:rFonts w:hint="eastAsia" w:ascii="宋体" w:hAnsi="宋体" w:eastAsia="宋体"/>
          <w:b/>
          <w:color w:val="FF0000"/>
          <w:sz w:val="24"/>
          <w:lang w:eastAsia="zh-CN"/>
        </w:rPr>
        <w:t>）</w:t>
      </w:r>
      <w:r>
        <w:rPr>
          <w:rFonts w:hint="eastAsia" w:ascii="宋体" w:hAnsi="宋体" w:eastAsia="宋体"/>
          <w:b/>
          <w:color w:val="FF0000"/>
          <w:sz w:val="24"/>
        </w:rPr>
        <w:t>。</w:t>
      </w:r>
    </w:p>
    <w:p>
      <w:pPr>
        <w:spacing w:line="241" w:lineRule="exact"/>
        <w:rPr>
          <w:rFonts w:ascii="Times New Roman" w:hAnsi="Times New Roman" w:eastAsia="Times New Roman"/>
        </w:rPr>
      </w:pP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center"/>
        <w:rPr>
          <w:sz w:val="28"/>
          <w:szCs w:val="28"/>
        </w:rPr>
      </w:pPr>
      <w:r>
        <w:rPr>
          <w:rFonts w:hint="eastAsia"/>
          <w:sz w:val="28"/>
          <w:szCs w:val="28"/>
        </w:rPr>
        <w:t>年月日</w:t>
      </w: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ind w:firstLine="420" w:firstLineChars="150"/>
        <w:rPr>
          <w:sz w:val="28"/>
          <w:szCs w:val="28"/>
        </w:rPr>
      </w:pPr>
      <w:r>
        <w:rPr>
          <w:rFonts w:hint="eastAsia"/>
          <w:sz w:val="28"/>
          <w:szCs w:val="28"/>
        </w:rPr>
        <w:t>附件八</w:t>
      </w:r>
    </w:p>
    <w:p>
      <w:pPr>
        <w:pStyle w:val="9"/>
        <w:ind w:left="720" w:firstLine="562"/>
        <w:jc w:val="center"/>
        <w:rPr>
          <w:b/>
          <w:sz w:val="28"/>
          <w:szCs w:val="28"/>
        </w:rPr>
      </w:pPr>
      <w:r>
        <w:rPr>
          <w:rFonts w:hint="eastAsia"/>
          <w:b/>
          <w:sz w:val="28"/>
          <w:szCs w:val="28"/>
        </w:rPr>
        <w:t>无违规违法声明</w:t>
      </w:r>
    </w:p>
    <w:p>
      <w:pPr>
        <w:pStyle w:val="9"/>
        <w:ind w:left="720" w:firstLine="560"/>
        <w:rPr>
          <w:sz w:val="28"/>
          <w:szCs w:val="28"/>
        </w:rPr>
      </w:pPr>
    </w:p>
    <w:p>
      <w:pPr>
        <w:ind w:firstLine="560" w:firstLineChars="200"/>
        <w:rPr>
          <w:sz w:val="28"/>
          <w:szCs w:val="28"/>
        </w:rPr>
      </w:pPr>
      <w:r>
        <w:rPr>
          <w:rFonts w:hint="eastAsia"/>
          <w:sz w:val="28"/>
          <w:szCs w:val="28"/>
        </w:rPr>
        <w:t>（采购人）：</w:t>
      </w:r>
    </w:p>
    <w:p>
      <w:pPr>
        <w:pStyle w:val="9"/>
        <w:ind w:left="720" w:firstLine="560"/>
        <w:rPr>
          <w:sz w:val="28"/>
          <w:szCs w:val="28"/>
        </w:rPr>
      </w:pPr>
      <w:r>
        <w:rPr>
          <w:rFonts w:hint="eastAsia"/>
          <w:sz w:val="28"/>
          <w:szCs w:val="28"/>
        </w:rPr>
        <w:t>我公司承诺参加本次招标采购活动 3年内在经营活动中没有重大违法记录。</w:t>
      </w:r>
    </w:p>
    <w:p>
      <w:pPr>
        <w:pStyle w:val="9"/>
        <w:ind w:left="720" w:firstLine="560"/>
        <w:rPr>
          <w:sz w:val="28"/>
          <w:szCs w:val="28"/>
        </w:rPr>
      </w:pPr>
      <w:r>
        <w:rPr>
          <w:rFonts w:hint="eastAsia"/>
          <w:sz w:val="28"/>
          <w:szCs w:val="28"/>
        </w:rPr>
        <w:t>特此声明。</w:t>
      </w:r>
    </w:p>
    <w:p>
      <w:pPr>
        <w:pStyle w:val="9"/>
        <w:ind w:left="720" w:firstLine="560"/>
        <w:rPr>
          <w:sz w:val="28"/>
          <w:szCs w:val="28"/>
        </w:rPr>
      </w:pPr>
      <w:r>
        <w:rPr>
          <w:rFonts w:hint="eastAsia"/>
          <w:sz w:val="28"/>
          <w:szCs w:val="28"/>
        </w:rPr>
        <w:t>如果以上声明不真实，我方承担虚假响应的责任，中标无效，并按法律、法规的规定接受处罚。</w:t>
      </w:r>
    </w:p>
    <w:p>
      <w:pPr>
        <w:pStyle w:val="9"/>
        <w:ind w:left="720" w:firstLine="560"/>
        <w:rPr>
          <w:sz w:val="28"/>
          <w:szCs w:val="28"/>
        </w:rPr>
      </w:pPr>
    </w:p>
    <w:p>
      <w:pPr>
        <w:pStyle w:val="9"/>
        <w:ind w:left="720" w:firstLine="560"/>
        <w:rPr>
          <w:sz w:val="28"/>
          <w:szCs w:val="28"/>
        </w:rPr>
      </w:pPr>
      <w:r>
        <w:rPr>
          <w:rFonts w:hint="eastAsia"/>
          <w:sz w:val="28"/>
          <w:szCs w:val="28"/>
        </w:rPr>
        <w:t>供应商名称：（公章）</w:t>
      </w:r>
    </w:p>
    <w:p>
      <w:pPr>
        <w:pStyle w:val="9"/>
        <w:ind w:left="720" w:firstLine="560"/>
        <w:rPr>
          <w:sz w:val="28"/>
          <w:szCs w:val="28"/>
        </w:rPr>
      </w:pPr>
    </w:p>
    <w:p>
      <w:pPr>
        <w:pStyle w:val="9"/>
        <w:ind w:left="720" w:leftChars="343" w:firstLine="4480" w:firstLineChars="160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ind w:firstLine="420" w:firstLineChars="150"/>
        <w:jc w:val="left"/>
        <w:rPr>
          <w:sz w:val="28"/>
          <w:szCs w:val="28"/>
        </w:rPr>
      </w:pPr>
      <w:r>
        <w:rPr>
          <w:rFonts w:hint="eastAsia"/>
          <w:sz w:val="28"/>
          <w:szCs w:val="28"/>
        </w:rPr>
        <w:t>附件九</w:t>
      </w:r>
    </w:p>
    <w:p>
      <w:pPr>
        <w:ind w:firstLine="420" w:firstLineChars="150"/>
        <w:jc w:val="left"/>
        <w:rPr>
          <w:sz w:val="28"/>
          <w:szCs w:val="28"/>
        </w:rPr>
      </w:pPr>
    </w:p>
    <w:p>
      <w:pPr>
        <w:pStyle w:val="9"/>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9"/>
        <w:ind w:left="720" w:firstLine="560"/>
        <w:rPr>
          <w:sz w:val="28"/>
          <w:szCs w:val="28"/>
        </w:rPr>
      </w:pPr>
      <w:r>
        <w:rPr>
          <w:rFonts w:hint="eastAsia"/>
          <w:sz w:val="28"/>
          <w:szCs w:val="28"/>
        </w:rPr>
        <w:t>本单位郑重承诺，我单位无以下不良信用记录情形：</w:t>
      </w:r>
    </w:p>
    <w:p>
      <w:pPr>
        <w:pStyle w:val="9"/>
        <w:ind w:left="720" w:firstLine="560"/>
        <w:rPr>
          <w:sz w:val="28"/>
          <w:szCs w:val="28"/>
        </w:rPr>
      </w:pPr>
      <w:r>
        <w:rPr>
          <w:rFonts w:hint="eastAsia"/>
          <w:sz w:val="28"/>
          <w:szCs w:val="28"/>
        </w:rPr>
        <w:t>1、被人民法院列入失信被执行人；</w:t>
      </w:r>
    </w:p>
    <w:p>
      <w:pPr>
        <w:pStyle w:val="9"/>
        <w:ind w:left="720" w:firstLine="560"/>
        <w:rPr>
          <w:sz w:val="28"/>
          <w:szCs w:val="28"/>
        </w:rPr>
      </w:pPr>
      <w:r>
        <w:rPr>
          <w:rFonts w:hint="eastAsia"/>
          <w:sz w:val="28"/>
          <w:szCs w:val="28"/>
        </w:rPr>
        <w:t>2、被税务部门列入重大税收违法案件当事人名单；</w:t>
      </w:r>
    </w:p>
    <w:p>
      <w:pPr>
        <w:pStyle w:val="9"/>
        <w:ind w:left="720" w:firstLine="560"/>
        <w:rPr>
          <w:sz w:val="28"/>
          <w:szCs w:val="28"/>
        </w:rPr>
      </w:pPr>
      <w:r>
        <w:rPr>
          <w:rFonts w:hint="eastAsia"/>
          <w:sz w:val="28"/>
          <w:szCs w:val="28"/>
        </w:rPr>
        <w:t>3、被政府采购监管部门列入政府采购严重违法失信行为记录名单；</w:t>
      </w:r>
    </w:p>
    <w:p>
      <w:pPr>
        <w:pStyle w:val="9"/>
        <w:ind w:left="720" w:firstLine="560"/>
        <w:rPr>
          <w:sz w:val="28"/>
          <w:szCs w:val="28"/>
        </w:rPr>
      </w:pPr>
      <w:r>
        <w:rPr>
          <w:rFonts w:hint="eastAsia"/>
          <w:sz w:val="28"/>
          <w:szCs w:val="28"/>
        </w:rPr>
        <w:t>4、不符合政府采购法第二十二条规定的条件。</w:t>
      </w:r>
    </w:p>
    <w:p>
      <w:pPr>
        <w:pStyle w:val="9"/>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9"/>
        <w:ind w:left="720" w:firstLine="560"/>
        <w:rPr>
          <w:sz w:val="28"/>
          <w:szCs w:val="28"/>
        </w:rPr>
      </w:pPr>
      <w:r>
        <w:rPr>
          <w:rFonts w:hint="eastAsia"/>
          <w:sz w:val="28"/>
          <w:szCs w:val="28"/>
        </w:rPr>
        <w:t>供应商名称：（公章）</w:t>
      </w:r>
    </w:p>
    <w:p>
      <w:pPr>
        <w:pStyle w:val="9"/>
        <w:ind w:left="720" w:firstLine="560"/>
        <w:rPr>
          <w:sz w:val="28"/>
          <w:szCs w:val="28"/>
        </w:rPr>
      </w:pPr>
    </w:p>
    <w:p>
      <w:pPr>
        <w:pStyle w:val="9"/>
        <w:ind w:left="720" w:leftChars="343" w:firstLine="4340" w:firstLineChars="155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ind w:firstLine="419" w:firstLineChars="149"/>
        <w:rPr>
          <w:b/>
          <w:sz w:val="28"/>
          <w:szCs w:val="28"/>
        </w:rPr>
      </w:pPr>
    </w:p>
    <w:p>
      <w:pPr>
        <w:pStyle w:val="4"/>
        <w:ind w:left="0" w:leftChars="0"/>
        <w:rPr>
          <w:rFonts w:ascii="宋体" w:hAnsi="宋体"/>
          <w:b/>
          <w:color w:val="000000"/>
          <w:sz w:val="28"/>
          <w:szCs w:val="28"/>
        </w:rPr>
      </w:pPr>
      <w:r>
        <w:rPr>
          <w:rFonts w:hint="eastAsia" w:ascii="宋体" w:hAnsi="宋体"/>
          <w:color w:val="000000"/>
          <w:sz w:val="28"/>
          <w:szCs w:val="28"/>
        </w:rPr>
        <w:t xml:space="preserve">附件十                        </w:t>
      </w:r>
    </w:p>
    <w:p>
      <w:pPr>
        <w:pStyle w:val="4"/>
        <w:ind w:left="0" w:leftChars="0"/>
        <w:jc w:val="center"/>
        <w:rPr>
          <w:rFonts w:ascii="宋体" w:hAnsi="宋体"/>
          <w:color w:val="000000"/>
        </w:rPr>
      </w:pPr>
      <w:r>
        <w:rPr>
          <w:rFonts w:hint="eastAsia" w:ascii="宋体" w:hAnsi="宋体"/>
          <w:b/>
          <w:color w:val="000000"/>
          <w:sz w:val="32"/>
          <w:szCs w:val="32"/>
        </w:rPr>
        <w:t>封面格式：</w:t>
      </w:r>
    </w:p>
    <w:tbl>
      <w:tblPr>
        <w:tblStyle w:val="6"/>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4"/>
              <w:ind w:firstLine="470"/>
              <w:jc w:val="left"/>
              <w:rPr>
                <w:rFonts w:ascii="宋体" w:hAnsi="宋体"/>
                <w:color w:val="000000"/>
              </w:rPr>
            </w:pPr>
          </w:p>
          <w:p>
            <w:pPr>
              <w:pStyle w:val="4"/>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4"/>
              <w:ind w:left="0" w:leftChars="0"/>
              <w:jc w:val="center"/>
              <w:rPr>
                <w:rFonts w:ascii="宋体" w:hAnsi="宋体"/>
                <w:b/>
                <w:color w:val="000000"/>
                <w:sz w:val="32"/>
                <w:szCs w:val="32"/>
              </w:rPr>
            </w:pPr>
            <w:r>
              <w:rPr>
                <w:rFonts w:hint="eastAsia" w:ascii="宋体" w:hAnsi="宋体"/>
                <w:b/>
                <w:color w:val="000000"/>
                <w:sz w:val="32"/>
                <w:szCs w:val="32"/>
              </w:rPr>
              <w:t>（正本）</w:t>
            </w:r>
          </w:p>
          <w:p>
            <w:pPr>
              <w:pStyle w:val="4"/>
              <w:ind w:left="0" w:leftChars="0"/>
              <w:jc w:val="left"/>
              <w:rPr>
                <w:rFonts w:ascii="宋体" w:hAnsi="宋体"/>
                <w:color w:val="000000"/>
              </w:rPr>
            </w:pPr>
            <w:r>
              <w:rPr>
                <w:rFonts w:hint="eastAsia" w:ascii="宋体" w:hAnsi="宋体"/>
                <w:color w:val="000000"/>
              </w:rPr>
              <w:t>项目编号：</w:t>
            </w:r>
          </w:p>
          <w:p>
            <w:pPr>
              <w:pStyle w:val="4"/>
              <w:ind w:left="0" w:leftChars="0"/>
              <w:jc w:val="left"/>
              <w:rPr>
                <w:rFonts w:ascii="宋体" w:hAnsi="宋体"/>
                <w:color w:val="000000"/>
              </w:rPr>
            </w:pPr>
            <w:r>
              <w:rPr>
                <w:rFonts w:hint="eastAsia" w:ascii="宋体" w:hAnsi="宋体"/>
                <w:color w:val="000000"/>
              </w:rPr>
              <w:t>项目名称：</w:t>
            </w:r>
          </w:p>
          <w:p>
            <w:pPr>
              <w:pStyle w:val="4"/>
              <w:ind w:left="0" w:leftChars="0"/>
              <w:jc w:val="left"/>
              <w:rPr>
                <w:rFonts w:ascii="宋体" w:hAnsi="宋体"/>
                <w:color w:val="000000"/>
              </w:rPr>
            </w:pPr>
            <w:r>
              <w:rPr>
                <w:rFonts w:hint="eastAsia" w:ascii="宋体" w:hAnsi="宋体"/>
                <w:color w:val="000000"/>
              </w:rPr>
              <w:t>所报包号：</w:t>
            </w:r>
          </w:p>
          <w:p>
            <w:pPr>
              <w:pStyle w:val="4"/>
              <w:ind w:left="0" w:leftChars="0"/>
              <w:jc w:val="left"/>
              <w:rPr>
                <w:rFonts w:ascii="宋体" w:hAnsi="宋体"/>
                <w:color w:val="000000"/>
              </w:rPr>
            </w:pPr>
            <w:r>
              <w:rPr>
                <w:rFonts w:hint="eastAsia" w:ascii="宋体" w:hAnsi="宋体"/>
                <w:color w:val="000000"/>
              </w:rPr>
              <w:t>供应商名称（公章）：</w:t>
            </w:r>
          </w:p>
          <w:p>
            <w:pPr>
              <w:pStyle w:val="4"/>
              <w:ind w:left="0" w:leftChars="0"/>
              <w:jc w:val="left"/>
              <w:rPr>
                <w:rFonts w:ascii="宋体" w:hAnsi="宋体"/>
                <w:color w:val="000000"/>
              </w:rPr>
            </w:pPr>
            <w:r>
              <w:rPr>
                <w:rFonts w:hint="eastAsia" w:ascii="宋体" w:hAnsi="宋体"/>
                <w:color w:val="000000"/>
              </w:rPr>
              <w:t>地址：</w:t>
            </w:r>
          </w:p>
          <w:p>
            <w:pPr>
              <w:pStyle w:val="4"/>
              <w:ind w:left="0" w:leftChars="0"/>
              <w:jc w:val="left"/>
              <w:rPr>
                <w:rFonts w:ascii="宋体" w:hAnsi="宋体"/>
                <w:color w:val="000000"/>
              </w:rPr>
            </w:pPr>
            <w:r>
              <w:rPr>
                <w:rFonts w:hint="eastAsia" w:ascii="宋体" w:hAnsi="宋体"/>
                <w:color w:val="000000"/>
              </w:rPr>
              <w:t>邮编：</w:t>
            </w:r>
          </w:p>
          <w:p>
            <w:pPr>
              <w:pStyle w:val="4"/>
              <w:ind w:left="0" w:leftChars="0"/>
              <w:jc w:val="left"/>
              <w:rPr>
                <w:rFonts w:ascii="宋体" w:hAnsi="宋体"/>
                <w:color w:val="000000"/>
              </w:rPr>
            </w:pPr>
            <w:r>
              <w:rPr>
                <w:rFonts w:hint="eastAsia" w:ascii="宋体" w:hAnsi="宋体"/>
                <w:color w:val="000000"/>
              </w:rPr>
              <w:t>电话：</w:t>
            </w:r>
          </w:p>
          <w:p>
            <w:pPr>
              <w:pStyle w:val="4"/>
              <w:ind w:left="0" w:leftChars="0"/>
              <w:jc w:val="left"/>
              <w:rPr>
                <w:rFonts w:ascii="宋体" w:hAnsi="宋体"/>
                <w:color w:val="000000"/>
              </w:rPr>
            </w:pPr>
            <w:r>
              <w:rPr>
                <w:rFonts w:hint="eastAsia" w:ascii="宋体" w:hAnsi="宋体"/>
                <w:color w:val="000000"/>
              </w:rPr>
              <w:t>传真：</w:t>
            </w:r>
          </w:p>
          <w:p>
            <w:pPr>
              <w:pStyle w:val="4"/>
              <w:ind w:left="1588" w:leftChars="756" w:firstLine="378" w:firstLineChars="180"/>
              <w:jc w:val="left"/>
              <w:rPr>
                <w:rFonts w:ascii="宋体" w:hAnsi="宋体"/>
                <w:color w:val="000000"/>
              </w:rPr>
            </w:pPr>
          </w:p>
        </w:tc>
        <w:tc>
          <w:tcPr>
            <w:tcW w:w="4665" w:type="dxa"/>
          </w:tcPr>
          <w:p>
            <w:pPr>
              <w:pStyle w:val="4"/>
              <w:ind w:firstLine="470"/>
              <w:jc w:val="left"/>
              <w:rPr>
                <w:rFonts w:ascii="宋体" w:hAnsi="宋体"/>
                <w:color w:val="000000"/>
              </w:rPr>
            </w:pPr>
          </w:p>
          <w:p>
            <w:pPr>
              <w:pStyle w:val="4"/>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4"/>
              <w:ind w:left="0" w:leftChars="0"/>
              <w:jc w:val="center"/>
              <w:rPr>
                <w:rFonts w:ascii="宋体" w:hAnsi="宋体"/>
                <w:b/>
                <w:color w:val="000000"/>
                <w:sz w:val="32"/>
                <w:szCs w:val="32"/>
              </w:rPr>
            </w:pPr>
            <w:r>
              <w:rPr>
                <w:rFonts w:hint="eastAsia" w:ascii="宋体" w:hAnsi="宋体"/>
                <w:b/>
                <w:color w:val="000000"/>
                <w:sz w:val="32"/>
                <w:szCs w:val="32"/>
              </w:rPr>
              <w:t>（副本）</w:t>
            </w:r>
          </w:p>
          <w:p>
            <w:pPr>
              <w:pStyle w:val="4"/>
              <w:ind w:left="0" w:leftChars="0"/>
              <w:jc w:val="left"/>
              <w:rPr>
                <w:rFonts w:ascii="宋体" w:hAnsi="宋体"/>
                <w:color w:val="000000"/>
              </w:rPr>
            </w:pPr>
            <w:r>
              <w:rPr>
                <w:rFonts w:hint="eastAsia" w:ascii="宋体" w:hAnsi="宋体"/>
                <w:color w:val="000000"/>
              </w:rPr>
              <w:t>项目编号：</w:t>
            </w:r>
          </w:p>
          <w:p>
            <w:pPr>
              <w:pStyle w:val="4"/>
              <w:ind w:left="0" w:leftChars="0"/>
              <w:jc w:val="left"/>
              <w:rPr>
                <w:rFonts w:ascii="宋体" w:hAnsi="宋体"/>
                <w:color w:val="000000"/>
              </w:rPr>
            </w:pPr>
            <w:r>
              <w:rPr>
                <w:rFonts w:hint="eastAsia" w:ascii="宋体" w:hAnsi="宋体"/>
                <w:color w:val="000000"/>
              </w:rPr>
              <w:t>项目名称：</w:t>
            </w:r>
          </w:p>
          <w:p>
            <w:pPr>
              <w:pStyle w:val="4"/>
              <w:ind w:left="0" w:leftChars="0"/>
              <w:jc w:val="left"/>
              <w:rPr>
                <w:rFonts w:ascii="宋体" w:hAnsi="宋体"/>
                <w:color w:val="000000"/>
              </w:rPr>
            </w:pPr>
            <w:r>
              <w:rPr>
                <w:rFonts w:hint="eastAsia" w:ascii="宋体" w:hAnsi="宋体"/>
                <w:color w:val="000000"/>
              </w:rPr>
              <w:t>所报包号：</w:t>
            </w:r>
          </w:p>
          <w:p>
            <w:pPr>
              <w:pStyle w:val="4"/>
              <w:ind w:left="0" w:leftChars="0"/>
              <w:jc w:val="left"/>
              <w:rPr>
                <w:rFonts w:ascii="宋体" w:hAnsi="宋体"/>
                <w:color w:val="000000"/>
              </w:rPr>
            </w:pPr>
            <w:r>
              <w:rPr>
                <w:rFonts w:hint="eastAsia" w:ascii="宋体" w:hAnsi="宋体"/>
                <w:color w:val="000000"/>
              </w:rPr>
              <w:t>供应商名称（公章）：</w:t>
            </w:r>
          </w:p>
          <w:p>
            <w:pPr>
              <w:pStyle w:val="4"/>
              <w:ind w:left="0" w:leftChars="0"/>
              <w:jc w:val="left"/>
              <w:rPr>
                <w:rFonts w:ascii="宋体" w:hAnsi="宋体"/>
                <w:color w:val="000000"/>
              </w:rPr>
            </w:pPr>
            <w:r>
              <w:rPr>
                <w:rFonts w:hint="eastAsia" w:ascii="宋体" w:hAnsi="宋体"/>
                <w:color w:val="000000"/>
              </w:rPr>
              <w:t>地址：</w:t>
            </w:r>
          </w:p>
          <w:p>
            <w:pPr>
              <w:pStyle w:val="4"/>
              <w:ind w:left="0" w:leftChars="0"/>
              <w:jc w:val="left"/>
              <w:rPr>
                <w:rFonts w:ascii="宋体" w:hAnsi="宋体"/>
                <w:color w:val="000000"/>
              </w:rPr>
            </w:pPr>
            <w:r>
              <w:rPr>
                <w:rFonts w:hint="eastAsia" w:ascii="宋体" w:hAnsi="宋体"/>
                <w:color w:val="000000"/>
              </w:rPr>
              <w:t>邮编：</w:t>
            </w:r>
          </w:p>
          <w:p>
            <w:pPr>
              <w:pStyle w:val="4"/>
              <w:ind w:left="0" w:leftChars="0"/>
              <w:jc w:val="left"/>
              <w:rPr>
                <w:rFonts w:ascii="宋体" w:hAnsi="宋体"/>
                <w:color w:val="000000"/>
              </w:rPr>
            </w:pPr>
            <w:r>
              <w:rPr>
                <w:rFonts w:hint="eastAsia" w:ascii="宋体" w:hAnsi="宋体"/>
                <w:color w:val="000000"/>
              </w:rPr>
              <w:t>电话：</w:t>
            </w:r>
          </w:p>
          <w:p>
            <w:pPr>
              <w:pStyle w:val="4"/>
              <w:ind w:left="0" w:leftChars="0"/>
              <w:jc w:val="left"/>
              <w:rPr>
                <w:rFonts w:ascii="宋体" w:hAnsi="宋体"/>
                <w:color w:val="000000"/>
              </w:rPr>
            </w:pPr>
            <w:r>
              <w:rPr>
                <w:rFonts w:hint="eastAsia" w:ascii="宋体" w:hAnsi="宋体"/>
                <w:color w:val="000000"/>
              </w:rPr>
              <w:t>传真：</w:t>
            </w:r>
          </w:p>
          <w:p>
            <w:pPr>
              <w:pStyle w:val="4"/>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4"/>
              <w:ind w:firstLine="590"/>
              <w:jc w:val="center"/>
              <w:rPr>
                <w:rFonts w:ascii="宋体" w:hAnsi="宋体"/>
                <w:b/>
                <w:color w:val="000000"/>
                <w:sz w:val="30"/>
              </w:rPr>
            </w:pPr>
          </w:p>
          <w:p>
            <w:pPr>
              <w:pStyle w:val="4"/>
              <w:ind w:left="0" w:leftChars="0"/>
              <w:jc w:val="center"/>
              <w:rPr>
                <w:rFonts w:ascii="宋体" w:hAnsi="宋体"/>
                <w:color w:val="000000"/>
                <w:sz w:val="30"/>
              </w:rPr>
            </w:pPr>
            <w:r>
              <w:rPr>
                <w:rFonts w:hint="eastAsia" w:ascii="宋体" w:hAnsi="宋体"/>
                <w:b/>
                <w:color w:val="000000"/>
                <w:sz w:val="32"/>
                <w:szCs w:val="32"/>
              </w:rPr>
              <w:t>报价一览表</w:t>
            </w:r>
          </w:p>
          <w:p>
            <w:pPr>
              <w:pStyle w:val="4"/>
              <w:ind w:firstLine="470"/>
              <w:jc w:val="center"/>
              <w:rPr>
                <w:rFonts w:ascii="宋体" w:hAnsi="宋体"/>
                <w:color w:val="000000"/>
              </w:rPr>
            </w:pPr>
          </w:p>
          <w:p>
            <w:pPr>
              <w:pStyle w:val="4"/>
              <w:ind w:left="0" w:leftChars="0"/>
              <w:jc w:val="center"/>
              <w:rPr>
                <w:rFonts w:ascii="宋体" w:hAnsi="宋体"/>
                <w:color w:val="000000"/>
              </w:rPr>
            </w:pPr>
            <w:r>
              <w:rPr>
                <w:rFonts w:hint="eastAsia" w:ascii="宋体" w:hAnsi="宋体"/>
                <w:color w:val="000000"/>
              </w:rPr>
              <w:t>项目编号：</w:t>
            </w:r>
          </w:p>
          <w:p>
            <w:pPr>
              <w:pStyle w:val="4"/>
              <w:ind w:left="0" w:leftChars="0"/>
              <w:jc w:val="center"/>
              <w:rPr>
                <w:rFonts w:ascii="宋体" w:hAnsi="宋体"/>
                <w:color w:val="000000"/>
              </w:rPr>
            </w:pPr>
            <w:r>
              <w:rPr>
                <w:rFonts w:hint="eastAsia" w:ascii="宋体" w:hAnsi="宋体"/>
                <w:color w:val="000000"/>
              </w:rPr>
              <w:t>项目名称：</w:t>
            </w:r>
          </w:p>
          <w:p>
            <w:pPr>
              <w:pStyle w:val="4"/>
              <w:ind w:left="0" w:leftChars="0"/>
              <w:jc w:val="center"/>
              <w:rPr>
                <w:rFonts w:ascii="宋体" w:hAnsi="宋体"/>
                <w:color w:val="000000"/>
              </w:rPr>
            </w:pPr>
            <w:r>
              <w:rPr>
                <w:rFonts w:hint="eastAsia" w:ascii="宋体" w:hAnsi="宋体"/>
                <w:color w:val="000000"/>
              </w:rPr>
              <w:t>所报包号：</w:t>
            </w:r>
          </w:p>
          <w:p>
            <w:pPr>
              <w:pStyle w:val="4"/>
              <w:ind w:left="0" w:leftChars="0"/>
              <w:jc w:val="center"/>
              <w:rPr>
                <w:rFonts w:ascii="宋体" w:hAnsi="宋体"/>
                <w:color w:val="000000"/>
              </w:rPr>
            </w:pPr>
            <w:r>
              <w:rPr>
                <w:rFonts w:hint="eastAsia" w:ascii="宋体" w:hAnsi="宋体"/>
                <w:color w:val="000000"/>
              </w:rPr>
              <w:t>供应商名称（公章）：</w:t>
            </w:r>
          </w:p>
          <w:p>
            <w:pPr>
              <w:pStyle w:val="4"/>
              <w:ind w:firstLine="470"/>
              <w:jc w:val="center"/>
              <w:rPr>
                <w:rFonts w:ascii="宋体" w:hAnsi="宋体"/>
                <w:color w:val="000000"/>
              </w:rPr>
            </w:pPr>
          </w:p>
        </w:tc>
      </w:tr>
    </w:tbl>
    <w:p>
      <w:pPr>
        <w:pStyle w:val="4"/>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6"/>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4"/>
              <w:ind w:left="0" w:leftChars="0"/>
              <w:rPr>
                <w:rFonts w:ascii="宋体" w:hAnsi="宋体"/>
                <w:color w:val="000000"/>
              </w:rPr>
            </w:pPr>
            <w:r>
              <w:rPr>
                <w:rFonts w:hint="eastAsia" w:ascii="宋体" w:hAnsi="宋体"/>
                <w:color w:val="000000"/>
              </w:rPr>
              <w:t>………………………于   年  月  日   时之前不准启封（公章）………………………</w:t>
            </w:r>
          </w:p>
        </w:tc>
      </w:tr>
    </w:tbl>
    <w:p>
      <w:pPr>
        <w:pStyle w:val="9"/>
        <w:ind w:left="720" w:firstLine="560"/>
        <w:rPr>
          <w:sz w:val="28"/>
          <w:szCs w:val="28"/>
        </w:rPr>
      </w:pPr>
    </w:p>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Segoe UI">
    <w:panose1 w:val="020B0502040204020203"/>
    <w:charset w:val="00"/>
    <w:family w:val="swiss"/>
    <w:pitch w:val="default"/>
    <w:sig w:usb0="E4002EFF" w:usb1="C000E47F"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TimesNewRomanPSMT">
    <w:altName w:val="Times New Roman"/>
    <w:panose1 w:val="00000000000000000000"/>
    <w:charset w:val="86"/>
    <w:family w:val="auto"/>
    <w:pitch w:val="default"/>
    <w:sig w:usb0="00000000" w:usb1="00000000" w:usb2="00000010" w:usb3="00000000" w:csb0="00040000" w:csb1="00000000"/>
  </w:font>
  <w:font w:name="Heiti SC Light">
    <w:altName w:val="红豆福牛迎春"/>
    <w:panose1 w:val="00000000000000000000"/>
    <w:charset w:val="50"/>
    <w:family w:val="auto"/>
    <w:pitch w:val="default"/>
    <w:sig w:usb0="00000000" w:usb1="00000000" w:usb2="00000010" w:usb3="00000000" w:csb0="00040000" w:csb1="00000000"/>
  </w:font>
  <w:font w:name="红豆福牛迎春">
    <w:panose1 w:val="02000509000000000000"/>
    <w:charset w:val="86"/>
    <w:family w:val="auto"/>
    <w:pitch w:val="default"/>
    <w:sig w:usb0="00000001" w:usb1="0801041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3F547B"/>
    <w:multiLevelType w:val="multilevel"/>
    <w:tmpl w:val="5B3F547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0A08FA"/>
    <w:rsid w:val="59F24E18"/>
    <w:rsid w:val="63EC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cs="Arial"/>
      <w:sz w:val="20"/>
      <w:szCs w:val="20"/>
    </w:rPr>
  </w:style>
  <w:style w:type="paragraph" w:styleId="3">
    <w:name w:val="Body Text"/>
    <w:basedOn w:val="1"/>
    <w:qFormat/>
    <w:uiPriority w:val="0"/>
    <w:pPr>
      <w:spacing w:after="120"/>
    </w:pPr>
    <w:rPr>
      <w:szCs w:val="24"/>
    </w:rPr>
  </w:style>
  <w:style w:type="paragraph" w:styleId="4">
    <w:name w:val="Body Text Indent"/>
    <w:basedOn w:val="1"/>
    <w:unhideWhenUsed/>
    <w:qFormat/>
    <w:uiPriority w:val="99"/>
    <w:pPr>
      <w:spacing w:after="120"/>
      <w:ind w:left="420" w:leftChars="200"/>
    </w:p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font01"/>
    <w:basedOn w:val="8"/>
    <w:qFormat/>
    <w:uiPriority w:val="0"/>
    <w:rPr>
      <w:rFonts w:hint="default" w:ascii="仿宋_GB2312" w:eastAsia="仿宋_GB2312" w:cs="仿宋_GB2312"/>
      <w:color w:val="000000"/>
      <w:sz w:val="24"/>
      <w:szCs w:val="24"/>
      <w:u w:val="none"/>
    </w:rPr>
  </w:style>
  <w:style w:type="paragraph" w:customStyle="1" w:styleId="11">
    <w:name w:val="首行缩进"/>
    <w:basedOn w:val="1"/>
    <w:unhideWhenUsed/>
    <w:qFormat/>
    <w:uiPriority w:val="0"/>
    <w:pPr>
      <w:spacing w:line="360" w:lineRule="auto"/>
      <w:ind w:firstLine="480" w:firstLineChars="200"/>
    </w:pPr>
    <w:rPr>
      <w:rFonts w:hint="eastAsia" w:ascii="宋体" w:hAnsi="宋体" w:eastAsiaTheme="minorEastAsia" w:cstheme="minorBidi"/>
      <w:color w:val="auto"/>
      <w:kern w:val="0"/>
      <w:szCs w:val="22"/>
    </w:rPr>
  </w:style>
  <w:style w:type="character" w:customStyle="1" w:styleId="12">
    <w:name w:val="样式 仿宋"/>
    <w:qFormat/>
    <w:uiPriority w:val="0"/>
    <w:rPr>
      <w:rFonts w:hint="eastAsia" w:ascii="仿宋" w:hAnsi="仿宋" w:eastAsia="仿宋"/>
      <w:kern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赵龙</cp:lastModifiedBy>
  <dcterms:modified xsi:type="dcterms:W3CDTF">2021-04-09T06:47:48Z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6D9E1625C7074BB9A13DF1AC5A722305</vt:lpwstr>
  </property>
</Properties>
</file>