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青岛眼科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eastAsia="zh-CN"/>
        </w:rPr>
        <w:t>医院安保外包服务评分表</w:t>
      </w:r>
    </w:p>
    <w:tbl>
      <w:tblPr>
        <w:tblStyle w:val="4"/>
        <w:tblpPr w:leftFromText="180" w:rightFromText="180" w:vertAnchor="text" w:horzAnchor="page" w:tblpX="1397" w:tblpY="61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5"/>
        <w:gridCol w:w="2160"/>
        <w:gridCol w:w="4185"/>
        <w:gridCol w:w="885"/>
        <w:gridCol w:w="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评分项目及分值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8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一．投标报价（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投标报价（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满足招标文件要求且投标价格最低的有效投标报价为评标基准价，其价格分为满分30分。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其他投标人的价格分统一按照下列公式计算：投标报价得分=（评标基准价/投标报价）×30，结果保留两位小数。（有效投标报价为资格审查合格的所有投标单位报价）。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58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二、投标人总体评价（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24分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注册资金（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注册资金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100万得2分，每增加100万元加1分，最高得5分。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企业营业执照复印件（原件备查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认证情况（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具有有效的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IS09001、14001、18001、管理体系认证的，有一项的1分，最高得3分。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认证证书复印件（原件备查）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企业资质（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投标人提供保安服务的年限：满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年不满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2年的得1分；满2年但不满3年的，得3分；满3年以上的得6分，最高6分。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br w:type="textWrapping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以保安服务许可证发证日期为准，提供复印件，原件备查。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9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投标人业绩（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截止到开标日期为止目前在管一年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以上10万平米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物业以上公共物业项目有一个物业项目得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3分，最高9分。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附完整合同，另须同时提供近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3个月服务发票和银行对账单。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58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三、服务方案（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46分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项目组织构架、规章制度、岗位分工及职责（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eastAsia="zh-CN"/>
              </w:rPr>
              <w:t>保安组织构架、规章制度、各岗位分工及岗位职责等方面进行评审，优秀的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6-7分，良好的5-6分，一般的4-5分。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保安服务人员构成（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综合评价：安保骨干及安保人员的年龄、从业经验、人员素质，优秀的得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15-18分，良好的得14-18分，一般的得10-14分。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简历、业绩表等证明材料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服务方案（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评价：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保安管理方案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保安服务管理质量检查标准及作业规程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人员培训计划、物业服务流程，应急事件处理预案等方面。优秀的得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15-18分，良好的得11-14分，一般的得9-11分。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优化创新（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1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提供项目优化创新建议或对对本项目有特殊支持，切实可行的。最高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3分。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7faf2a669dc5022aaea0013005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3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1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2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4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1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4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af2a669dc5022aaea0013005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91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V1402489495</cp:lastModifiedBy>
  <dcterms:modified xsi:type="dcterms:W3CDTF">2017-11-13T05:16:24Z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